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B8B91" w14:textId="694F4AD6" w:rsidR="000E49B6" w:rsidRDefault="000E49B6" w:rsidP="000E49B6">
      <w:pPr>
        <w:pStyle w:val="3GPPHeader"/>
        <w:spacing w:after="60"/>
        <w:rPr>
          <w:sz w:val="32"/>
          <w:szCs w:val="32"/>
          <w:highlight w:val="yellow"/>
          <w:lang w:val="en-US"/>
        </w:rPr>
      </w:pPr>
      <w:bookmarkStart w:id="0" w:name="_Hlk524960236"/>
      <w:bookmarkStart w:id="1" w:name="_Hlk524960622"/>
      <w:bookmarkStart w:id="2" w:name="_GoBack"/>
      <w:bookmarkEnd w:id="2"/>
      <w:r>
        <w:rPr>
          <w:lang w:val="en-US"/>
        </w:rPr>
        <w:t>3GPP TSG-RAN WG1 Meeting #96</w:t>
      </w:r>
      <w:r>
        <w:rPr>
          <w:lang w:val="en-US"/>
        </w:rPr>
        <w:tab/>
      </w:r>
      <w:r>
        <w:rPr>
          <w:sz w:val="32"/>
          <w:szCs w:val="32"/>
          <w:lang w:val="en-US"/>
        </w:rPr>
        <w:t xml:space="preserve"> </w:t>
      </w:r>
      <w:r w:rsidRPr="00070042">
        <w:rPr>
          <w:sz w:val="32"/>
          <w:szCs w:val="32"/>
          <w:lang w:val="en-US"/>
        </w:rPr>
        <w:t>R1-19</w:t>
      </w:r>
      <w:r w:rsidR="00070042" w:rsidRPr="00070042">
        <w:rPr>
          <w:sz w:val="32"/>
          <w:szCs w:val="32"/>
          <w:lang w:val="en-US"/>
        </w:rPr>
        <w:t>02887</w:t>
      </w:r>
    </w:p>
    <w:p w14:paraId="5596189C" w14:textId="77777777" w:rsidR="000E49B6" w:rsidRPr="005B5E25" w:rsidRDefault="000E49B6" w:rsidP="000E49B6">
      <w:pPr>
        <w:pStyle w:val="3GPPHeader"/>
        <w:spacing w:after="0"/>
      </w:pPr>
      <w:r w:rsidRPr="00925847">
        <w:rPr>
          <w:lang w:val="en-US"/>
        </w:rPr>
        <w:t>Athens</w:t>
      </w:r>
      <w:r>
        <w:rPr>
          <w:lang w:val="en-US"/>
        </w:rPr>
        <w:t xml:space="preserve">, </w:t>
      </w:r>
      <w:r w:rsidRPr="00925847">
        <w:rPr>
          <w:lang w:val="en-US"/>
        </w:rPr>
        <w:t>G</w:t>
      </w:r>
      <w:r>
        <w:rPr>
          <w:lang w:val="en-US"/>
        </w:rPr>
        <w:t>reece, 25</w:t>
      </w:r>
      <w:r>
        <w:rPr>
          <w:vertAlign w:val="superscript"/>
          <w:lang w:val="en-US"/>
        </w:rPr>
        <w:t>th</w:t>
      </w:r>
      <w:r>
        <w:rPr>
          <w:lang w:val="en-US"/>
        </w:rPr>
        <w:t xml:space="preserve"> February – 1</w:t>
      </w:r>
      <w:r w:rsidRPr="00447772">
        <w:rPr>
          <w:vertAlign w:val="superscript"/>
          <w:lang w:val="en-US"/>
        </w:rPr>
        <w:t>st</w:t>
      </w:r>
      <w:r>
        <w:rPr>
          <w:lang w:val="en-US"/>
        </w:rPr>
        <w:t xml:space="preserve"> </w:t>
      </w:r>
      <w:proofErr w:type="gramStart"/>
      <w:r>
        <w:rPr>
          <w:lang w:val="en-US"/>
        </w:rPr>
        <w:t>March,</w:t>
      </w:r>
      <w:proofErr w:type="gramEnd"/>
      <w:r>
        <w:rPr>
          <w:lang w:val="en-US"/>
        </w:rPr>
        <w:t xml:space="preserve"> 2019</w:t>
      </w:r>
    </w:p>
    <w:bookmarkEnd w:id="0"/>
    <w:p w14:paraId="752B6174" w14:textId="77777777" w:rsidR="009F0D27" w:rsidRPr="009F0D27" w:rsidRDefault="009F0D27" w:rsidP="009F0D27">
      <w:pPr>
        <w:pStyle w:val="3GPPHeader"/>
        <w:overflowPunct/>
        <w:autoSpaceDE/>
        <w:autoSpaceDN/>
        <w:adjustRightInd/>
        <w:textAlignment w:val="auto"/>
        <w:rPr>
          <w:rFonts w:eastAsiaTheme="minorHAnsi"/>
          <w:lang w:val="en-US"/>
        </w:rPr>
      </w:pPr>
    </w:p>
    <w:p w14:paraId="7EEB5E57" w14:textId="19BAB6C7" w:rsidR="00B048E3" w:rsidRPr="007D23AD" w:rsidRDefault="00B048E3" w:rsidP="00B048E3">
      <w:pPr>
        <w:pStyle w:val="3GPPHeader"/>
        <w:rPr>
          <w:sz w:val="22"/>
          <w:szCs w:val="22"/>
          <w:lang w:val="en-US"/>
        </w:rPr>
      </w:pPr>
      <w:r w:rsidRPr="007D23AD">
        <w:rPr>
          <w:sz w:val="22"/>
          <w:szCs w:val="22"/>
          <w:lang w:val="en-US"/>
        </w:rPr>
        <w:t>Agenda Item:</w:t>
      </w:r>
      <w:r w:rsidRPr="007D23AD">
        <w:rPr>
          <w:sz w:val="22"/>
          <w:szCs w:val="22"/>
          <w:lang w:val="en-US"/>
        </w:rPr>
        <w:tab/>
      </w:r>
      <w:r w:rsidR="00E6180E" w:rsidRPr="00233E9C">
        <w:rPr>
          <w:sz w:val="22"/>
          <w:szCs w:val="22"/>
          <w:lang w:val="en-US"/>
        </w:rPr>
        <w:t>7.2.2.</w:t>
      </w:r>
      <w:r w:rsidR="003318FB">
        <w:rPr>
          <w:sz w:val="22"/>
          <w:szCs w:val="22"/>
          <w:lang w:val="en-US"/>
        </w:rPr>
        <w:t>2.</w:t>
      </w:r>
      <w:r w:rsidR="00E6180E" w:rsidRPr="00233E9C">
        <w:rPr>
          <w:sz w:val="22"/>
          <w:szCs w:val="22"/>
          <w:lang w:val="en-US"/>
        </w:rPr>
        <w:t>5</w:t>
      </w:r>
    </w:p>
    <w:p w14:paraId="268F38BA" w14:textId="77777777" w:rsidR="00B048E3" w:rsidRPr="00CE0424" w:rsidRDefault="00B048E3" w:rsidP="00B048E3">
      <w:pPr>
        <w:pStyle w:val="3GPPHeader"/>
        <w:rPr>
          <w:sz w:val="22"/>
          <w:szCs w:val="22"/>
        </w:rPr>
      </w:pPr>
      <w:r>
        <w:rPr>
          <w:sz w:val="22"/>
          <w:szCs w:val="22"/>
        </w:rPr>
        <w:t>Source:</w:t>
      </w:r>
      <w:r w:rsidRPr="00CE0424">
        <w:rPr>
          <w:sz w:val="22"/>
          <w:szCs w:val="22"/>
        </w:rPr>
        <w:tab/>
        <w:t>Ericsson</w:t>
      </w:r>
    </w:p>
    <w:p w14:paraId="2467EAC2" w14:textId="13D901B5" w:rsidR="00E90E49" w:rsidRPr="00CE0424" w:rsidRDefault="003D3C45" w:rsidP="00311702">
      <w:pPr>
        <w:pStyle w:val="3GPPHeader"/>
        <w:rPr>
          <w:sz w:val="22"/>
          <w:szCs w:val="22"/>
        </w:rPr>
      </w:pPr>
      <w:r>
        <w:rPr>
          <w:sz w:val="22"/>
          <w:szCs w:val="22"/>
        </w:rPr>
        <w:t>Title:</w:t>
      </w:r>
      <w:r w:rsidR="00E90E49" w:rsidRPr="00CE0424">
        <w:rPr>
          <w:sz w:val="22"/>
          <w:szCs w:val="22"/>
        </w:rPr>
        <w:tab/>
      </w:r>
      <w:r w:rsidR="00E6180E">
        <w:rPr>
          <w:sz w:val="22"/>
          <w:szCs w:val="22"/>
        </w:rPr>
        <w:t>Wideband operation for NR-U</w:t>
      </w:r>
    </w:p>
    <w:p w14:paraId="41A5EA0B" w14:textId="77777777" w:rsidR="00E90E49" w:rsidRPr="00CE0424" w:rsidRDefault="00E90E49" w:rsidP="00D546FF">
      <w:pPr>
        <w:pStyle w:val="3GPPHeader"/>
        <w:rPr>
          <w:sz w:val="22"/>
          <w:szCs w:val="22"/>
        </w:rPr>
      </w:pPr>
      <w:r w:rsidRPr="00421245">
        <w:rPr>
          <w:sz w:val="22"/>
          <w:szCs w:val="22"/>
        </w:rPr>
        <w:t>Document for:</w:t>
      </w:r>
      <w:r w:rsidRPr="00421245">
        <w:rPr>
          <w:sz w:val="22"/>
          <w:szCs w:val="22"/>
        </w:rPr>
        <w:tab/>
      </w:r>
      <w:r w:rsidRPr="004E3838">
        <w:rPr>
          <w:sz w:val="22"/>
          <w:szCs w:val="22"/>
        </w:rPr>
        <w:t>Discussion, Decision</w:t>
      </w:r>
    </w:p>
    <w:bookmarkEnd w:id="1"/>
    <w:p w14:paraId="37CFE3B4" w14:textId="379EC5C1" w:rsidR="00E90E49" w:rsidRDefault="00230D18" w:rsidP="00CE0424">
      <w:pPr>
        <w:pStyle w:val="Heading1"/>
      </w:pPr>
      <w:r>
        <w:t>1</w:t>
      </w:r>
      <w:r>
        <w:tab/>
      </w:r>
      <w:r w:rsidR="00353C6D">
        <w:t>Introduction</w:t>
      </w:r>
    </w:p>
    <w:p w14:paraId="0EAC72EB" w14:textId="53E5BABC" w:rsidR="00071498" w:rsidRDefault="00071498" w:rsidP="00071498">
      <w:pPr>
        <w:pStyle w:val="BodyText"/>
      </w:pPr>
      <w:r>
        <w:t xml:space="preserve">As for NR in licensed bands, it is expected that NR-U will support transmission over a wide bandwidth (&gt;&gt; 20 MHz). Essentially this can be achieved in two different ways: (1) configuration of multiple serving cells, each with 20 MHz bandwidth, and (2) configuration of a single wideband serving cell with bandwidth in integer multiple of 20 </w:t>
      </w:r>
      <w:proofErr w:type="spellStart"/>
      <w:r>
        <w:t>MHz.</w:t>
      </w:r>
      <w:proofErr w:type="spellEnd"/>
      <w:r>
        <w:t xml:space="preserve"> Regarding these two methods, the following objective is listed in the NR-U WID </w:t>
      </w:r>
      <w:r>
        <w:fldChar w:fldCharType="begin"/>
      </w:r>
      <w:r>
        <w:instrText xml:space="preserve"> REF _Ref534127550 \r \h  \* MERGEFORMAT </w:instrText>
      </w:r>
      <w:r>
        <w:fldChar w:fldCharType="separate"/>
      </w:r>
      <w:r w:rsidR="00953262">
        <w:t>[1]</w:t>
      </w:r>
      <w:r>
        <w:fldChar w:fldCharType="end"/>
      </w:r>
      <w:r>
        <w:t>:</w:t>
      </w:r>
    </w:p>
    <w:p w14:paraId="08C16CE7" w14:textId="77777777" w:rsidR="00071498" w:rsidRPr="000962B9" w:rsidRDefault="00071498" w:rsidP="00071498">
      <w:pPr>
        <w:pStyle w:val="BodyText"/>
        <w:ind w:left="567"/>
        <w:rPr>
          <w:rFonts w:ascii="Times New Roman" w:hAnsi="Times New Roman"/>
          <w:i/>
        </w:rPr>
      </w:pPr>
      <w:r w:rsidRPr="000962B9">
        <w:rPr>
          <w:rFonts w:ascii="Times New Roman" w:hAnsi="Times New Roman"/>
          <w:i/>
          <w:lang w:eastAsia="ja-JP"/>
        </w:rPr>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sidRPr="000962B9">
        <w:rPr>
          <w:rFonts w:ascii="Times New Roman" w:hAnsi="Times New Roman"/>
          <w:i/>
          <w:lang w:eastAsia="ja-JP"/>
        </w:rPr>
        <w:t>subbands</w:t>
      </w:r>
      <w:proofErr w:type="spellEnd"/>
      <w:r w:rsidRPr="000962B9">
        <w:rPr>
          <w:rFonts w:ascii="Times New Roman" w:hAnsi="Times New Roman"/>
          <w:i/>
          <w:lang w:eastAsia="ja-JP"/>
        </w:rPr>
        <w:t xml:space="preserve"> within the wideband carrier. For all wide-band operation cases, CCA is performed in units of 20MHz (at least for 5GHz).</w:t>
      </w:r>
    </w:p>
    <w:p w14:paraId="7F7B90FD" w14:textId="520F4B8C" w:rsidR="00071498" w:rsidRDefault="00071498" w:rsidP="00071498">
      <w:pPr>
        <w:pStyle w:val="BodyText"/>
      </w:pPr>
      <w:r>
        <w:t>The corresponding agreement from the SI phase is listed in the TR 38.889</w:t>
      </w:r>
      <w:r w:rsidR="00953262">
        <w:t xml:space="preserve"> </w:t>
      </w:r>
      <w:r w:rsidR="00953262">
        <w:fldChar w:fldCharType="begin"/>
      </w:r>
      <w:r w:rsidR="00953262">
        <w:instrText xml:space="preserve"> REF _Ref534117348 \r \h </w:instrText>
      </w:r>
      <w:r w:rsidR="00953262">
        <w:fldChar w:fldCharType="separate"/>
      </w:r>
      <w:r w:rsidR="00953262">
        <w:t>[2]</w:t>
      </w:r>
      <w:r w:rsidR="00953262">
        <w:fldChar w:fldCharType="end"/>
      </w:r>
      <w:r>
        <w:t>:</w:t>
      </w:r>
    </w:p>
    <w:p w14:paraId="42762728" w14:textId="77777777" w:rsidR="00071498" w:rsidRPr="007D5505" w:rsidRDefault="00071498" w:rsidP="00071498">
      <w:pPr>
        <w:spacing w:after="0"/>
        <w:ind w:left="567"/>
        <w:rPr>
          <w:rFonts w:eastAsia="Malgun Gothic"/>
          <w:i/>
          <w:lang w:eastAsia="ko-KR"/>
        </w:rPr>
      </w:pPr>
      <w:r w:rsidRPr="007D5505">
        <w:rPr>
          <w:rFonts w:eastAsia="Malgun Gothic" w:hint="eastAsia"/>
          <w:i/>
          <w:lang w:eastAsia="ko-KR"/>
        </w:rPr>
        <w:t>For</w:t>
      </w:r>
      <w:r w:rsidRPr="007D5505">
        <w:rPr>
          <w:rFonts w:eastAsia="Malgun Gothic"/>
          <w:i/>
          <w:lang w:eastAsia="ko-KR"/>
        </w:rPr>
        <w:t xml:space="preserve"> wideband operation for both DL and UL,</w:t>
      </w:r>
    </w:p>
    <w:p w14:paraId="49C8FD13"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r>
      <w:r w:rsidRPr="007D5505">
        <w:rPr>
          <w:rFonts w:hint="eastAsia"/>
          <w:i/>
          <w:lang w:val="en-US"/>
        </w:rPr>
        <w:t>Bandwidth larger than 20 MHz can be supported with multiple serving cells.</w:t>
      </w:r>
    </w:p>
    <w:p w14:paraId="3EA1B00C"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 xml:space="preserve">NR-U should support that a serving cell can be configured with bandwidth larger than 20 </w:t>
      </w:r>
      <w:proofErr w:type="spellStart"/>
      <w:r w:rsidRPr="007D5505">
        <w:rPr>
          <w:i/>
          <w:lang w:val="en-US"/>
        </w:rPr>
        <w:t>MHz.</w:t>
      </w:r>
      <w:proofErr w:type="spellEnd"/>
      <w:r w:rsidRPr="007D5505">
        <w:rPr>
          <w:i/>
          <w:lang w:val="en-US"/>
        </w:rPr>
        <w:t xml:space="preserve"> </w:t>
      </w:r>
    </w:p>
    <w:p w14:paraId="5BEB96A6" w14:textId="77777777" w:rsidR="00071498" w:rsidRPr="007D5505" w:rsidRDefault="00071498" w:rsidP="00071498">
      <w:pPr>
        <w:spacing w:after="0"/>
        <w:ind w:left="567"/>
        <w:rPr>
          <w:rFonts w:eastAsia="Malgun Gothic"/>
          <w:i/>
          <w:lang w:eastAsia="ko-KR"/>
        </w:rPr>
      </w:pPr>
      <w:r w:rsidRPr="007D5505">
        <w:rPr>
          <w:rFonts w:eastAsia="Malgun Gothic"/>
          <w:i/>
          <w:lang w:eastAsia="ko-KR"/>
        </w:rPr>
        <w:t>For DL operation, the following options for BWP-based operation within a carrier with bandwidth larger than 20 MHz can be considered.</w:t>
      </w:r>
    </w:p>
    <w:p w14:paraId="77FF336C"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1a: Multiple BWPs configured, multiple BWPs activated, transmission of PDSCH on one or more BWPs</w:t>
      </w:r>
    </w:p>
    <w:p w14:paraId="14649D44"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1b: Multiple BWPs configured, multiple BWPs activated, transmission of PDSCH on single BWP</w:t>
      </w:r>
    </w:p>
    <w:p w14:paraId="72F1E3E3"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 xml:space="preserve">Option 2: Multiple BWPs can be configured, single BWP activated, </w:t>
      </w:r>
      <w:proofErr w:type="spellStart"/>
      <w:r w:rsidRPr="007D5505">
        <w:rPr>
          <w:i/>
          <w:lang w:val="en-US"/>
        </w:rPr>
        <w:t>gNB</w:t>
      </w:r>
      <w:proofErr w:type="spellEnd"/>
      <w:r w:rsidRPr="007D5505">
        <w:rPr>
          <w:i/>
          <w:lang w:val="en-US"/>
        </w:rPr>
        <w:t xml:space="preserve"> transmits PDSCH on a single BWP if CCA is successful at </w:t>
      </w:r>
      <w:proofErr w:type="spellStart"/>
      <w:r w:rsidRPr="007D5505">
        <w:rPr>
          <w:i/>
          <w:lang w:val="en-US"/>
        </w:rPr>
        <w:t>gNB</w:t>
      </w:r>
      <w:proofErr w:type="spellEnd"/>
      <w:r w:rsidRPr="007D5505">
        <w:rPr>
          <w:i/>
          <w:lang w:val="en-US"/>
        </w:rPr>
        <w:t xml:space="preserve"> for the whole BWP</w:t>
      </w:r>
    </w:p>
    <w:p w14:paraId="44C05F6B"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 xml:space="preserve">Option 3: Multiple BWPs can be configured, single BWP activated, </w:t>
      </w:r>
      <w:proofErr w:type="spellStart"/>
      <w:r w:rsidRPr="007D5505">
        <w:rPr>
          <w:i/>
          <w:lang w:val="en-US"/>
        </w:rPr>
        <w:t>gNB</w:t>
      </w:r>
      <w:proofErr w:type="spellEnd"/>
      <w:r w:rsidRPr="007D5505">
        <w:rPr>
          <w:i/>
          <w:lang w:val="en-US"/>
        </w:rPr>
        <w:t xml:space="preserve"> transmits PDSCH on parts or whole of single BWP where CCA is successful at </w:t>
      </w:r>
      <w:proofErr w:type="spellStart"/>
      <w:r w:rsidRPr="007D5505">
        <w:rPr>
          <w:i/>
          <w:lang w:val="en-US"/>
        </w:rPr>
        <w:t>gNB</w:t>
      </w:r>
      <w:proofErr w:type="spellEnd"/>
    </w:p>
    <w:p w14:paraId="231971B3" w14:textId="77777777" w:rsidR="00071498" w:rsidRPr="007D5505" w:rsidRDefault="00071498" w:rsidP="00071498">
      <w:pPr>
        <w:spacing w:after="0"/>
        <w:ind w:left="567"/>
        <w:rPr>
          <w:rFonts w:eastAsia="Malgun Gothic"/>
          <w:i/>
          <w:lang w:eastAsia="ko-KR"/>
        </w:rPr>
      </w:pPr>
      <w:r w:rsidRPr="007D5505">
        <w:rPr>
          <w:i/>
          <w:lang w:val="en-US"/>
        </w:rPr>
        <w:t>For UL operation, the following options for BWP-based operation within a carrier with bandwidth larger than 20 MHz can be considered.</w:t>
      </w:r>
    </w:p>
    <w:p w14:paraId="222BB419"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1a: Multiple BWPs configured, multiple BWPs activated, transmission of PUSCH on one or more BWPs</w:t>
      </w:r>
    </w:p>
    <w:p w14:paraId="01A8F548"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1b: Multiple BWPs configured, multiple BWPs activated, transmission of PUSCH on single BWP</w:t>
      </w:r>
    </w:p>
    <w:p w14:paraId="49D68899"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2: Multiple BWPs can be configured, single BWP activated, UE transmits PUSCH on a single BWP if CCA is successful at UE for the whole BWP</w:t>
      </w:r>
    </w:p>
    <w:p w14:paraId="46432D53" w14:textId="77777777" w:rsidR="00071498" w:rsidRPr="007D5505" w:rsidRDefault="00071498" w:rsidP="00071498">
      <w:pPr>
        <w:pStyle w:val="B1"/>
        <w:spacing w:after="0"/>
        <w:ind w:left="1135"/>
        <w:rPr>
          <w:i/>
          <w:lang w:val="en-US"/>
        </w:rPr>
      </w:pPr>
      <w:r w:rsidRPr="007D5505">
        <w:rPr>
          <w:i/>
          <w:lang w:val="en-US"/>
        </w:rPr>
        <w:t>-</w:t>
      </w:r>
      <w:r w:rsidRPr="007D5505">
        <w:rPr>
          <w:i/>
          <w:lang w:val="en-US"/>
        </w:rPr>
        <w:tab/>
        <w:t>Option 3: Multiple BWPs can be configured, single BWP activated, UE transmits PUSCH on parts or whole of single BWP where CCA is successful at UE</w:t>
      </w:r>
    </w:p>
    <w:p w14:paraId="1A2EA2FE" w14:textId="77777777" w:rsidR="00071498" w:rsidRPr="007D5505" w:rsidRDefault="00071498" w:rsidP="00071498">
      <w:pPr>
        <w:spacing w:after="120"/>
        <w:ind w:left="562"/>
        <w:rPr>
          <w:rFonts w:eastAsia="Malgun Gothic"/>
          <w:i/>
          <w:lang w:eastAsia="ko-KR"/>
        </w:rPr>
      </w:pPr>
      <w:r w:rsidRPr="007D5505">
        <w:rPr>
          <w:rFonts w:eastAsia="Malgun Gothic"/>
          <w:i/>
          <w:lang w:eastAsia="ko-KR"/>
        </w:rPr>
        <w:t xml:space="preserve">It is noted that CCA is declared to be successful or not in multiples of 20 </w:t>
      </w:r>
      <w:proofErr w:type="spellStart"/>
      <w:r w:rsidRPr="007D5505">
        <w:rPr>
          <w:rFonts w:eastAsia="Malgun Gothic"/>
          <w:i/>
          <w:lang w:eastAsia="ko-KR"/>
        </w:rPr>
        <w:t>MHz.</w:t>
      </w:r>
      <w:proofErr w:type="spellEnd"/>
    </w:p>
    <w:p w14:paraId="0A2FBBF3" w14:textId="77777777" w:rsidR="00071498" w:rsidRDefault="00071498" w:rsidP="00071498">
      <w:pPr>
        <w:pStyle w:val="BodyText"/>
      </w:pPr>
      <w:r>
        <w:t xml:space="preserve">In this contribution we address wideband operation with both multiple and single serving cells for both </w:t>
      </w:r>
      <w:r w:rsidRPr="00233E9C">
        <w:t>DL and UL.</w:t>
      </w:r>
    </w:p>
    <w:p w14:paraId="48C53FFF" w14:textId="2546A168" w:rsidR="00333690" w:rsidRDefault="00333690" w:rsidP="00333690">
      <w:pPr>
        <w:pStyle w:val="Heading1"/>
      </w:pPr>
      <w:r>
        <w:t>2</w:t>
      </w:r>
      <w:r>
        <w:tab/>
        <w:t xml:space="preserve">Multiple </w:t>
      </w:r>
      <w:r w:rsidR="007E4A58">
        <w:t xml:space="preserve">20 MHz </w:t>
      </w:r>
      <w:r>
        <w:t>Serving Cells</w:t>
      </w:r>
    </w:p>
    <w:p w14:paraId="52350801" w14:textId="668830E6" w:rsidR="00333690" w:rsidRDefault="00333690" w:rsidP="00333690">
      <w:pPr>
        <w:pStyle w:val="BodyText"/>
      </w:pPr>
      <w:r w:rsidRPr="008A6BFA">
        <w:rPr>
          <w:rStyle w:val="BodyTextChar"/>
        </w:rPr>
        <w:t xml:space="preserve">As </w:t>
      </w:r>
      <w:r>
        <w:rPr>
          <w:rStyle w:val="BodyTextChar"/>
        </w:rPr>
        <w:t>stated in the above agreement</w:t>
      </w:r>
      <w:r w:rsidRPr="008A6BFA">
        <w:rPr>
          <w:rStyle w:val="BodyTextChar"/>
        </w:rPr>
        <w:t xml:space="preserve">, wideband operation is supported with multiple </w:t>
      </w:r>
      <w:r w:rsidR="007E4A58">
        <w:rPr>
          <w:rStyle w:val="BodyTextChar"/>
        </w:rPr>
        <w:t xml:space="preserve">20 MHz </w:t>
      </w:r>
      <w:r w:rsidRPr="008A6BFA">
        <w:rPr>
          <w:rStyle w:val="BodyTextChar"/>
        </w:rPr>
        <w:t>serving cells.</w:t>
      </w:r>
      <w:r>
        <w:t xml:space="preserve"> </w:t>
      </w:r>
      <w:r w:rsidR="002604B8">
        <w:rPr>
          <w:rStyle w:val="BodyTextChar"/>
          <w:lang w:eastAsia="en-US"/>
        </w:rPr>
        <w:fldChar w:fldCharType="begin"/>
      </w:r>
      <w:r w:rsidR="002604B8">
        <w:instrText xml:space="preserve"> REF _Ref1134826 \h </w:instrText>
      </w:r>
      <w:r w:rsidR="002604B8">
        <w:rPr>
          <w:rStyle w:val="BodyTextChar"/>
          <w:lang w:eastAsia="en-US"/>
        </w:rPr>
      </w:r>
      <w:r w:rsidR="002604B8">
        <w:rPr>
          <w:rStyle w:val="BodyTextChar"/>
          <w:lang w:eastAsia="en-US"/>
        </w:rPr>
        <w:fldChar w:fldCharType="separate"/>
      </w:r>
      <w:r w:rsidR="00953262">
        <w:t xml:space="preserve">Figure </w:t>
      </w:r>
      <w:r w:rsidR="00953262">
        <w:rPr>
          <w:noProof/>
        </w:rPr>
        <w:t>1</w:t>
      </w:r>
      <w:r w:rsidR="002604B8">
        <w:rPr>
          <w:rStyle w:val="BodyTextChar"/>
          <w:lang w:eastAsia="en-US"/>
        </w:rPr>
        <w:fldChar w:fldCharType="end"/>
      </w:r>
      <w:r w:rsidRPr="00DF0091">
        <w:rPr>
          <w:rStyle w:val="BodyTextChar"/>
          <w:lang w:eastAsia="en-US"/>
        </w:rPr>
        <w:t xml:space="preserve"> </w:t>
      </w:r>
      <w:r w:rsidRPr="00DF0091">
        <w:rPr>
          <w:rStyle w:val="BodyTextChar"/>
        </w:rPr>
        <w:t xml:space="preserve">shows an example of </w:t>
      </w:r>
      <w:r>
        <w:rPr>
          <w:rStyle w:val="BodyTextChar"/>
        </w:rPr>
        <w:t xml:space="preserve">multiple </w:t>
      </w:r>
      <w:r w:rsidR="007E4A58">
        <w:rPr>
          <w:rStyle w:val="BodyTextChar"/>
        </w:rPr>
        <w:t xml:space="preserve">20 MHz </w:t>
      </w:r>
      <w:r>
        <w:rPr>
          <w:rStyle w:val="BodyTextChar"/>
        </w:rPr>
        <w:t>serving cells for</w:t>
      </w:r>
      <w:r w:rsidRPr="00DF0091">
        <w:rPr>
          <w:rStyle w:val="BodyTextChar"/>
        </w:rPr>
        <w:t xml:space="preserve"> an operating bandwidth of 80 </w:t>
      </w:r>
      <w:proofErr w:type="spellStart"/>
      <w:r w:rsidRPr="00DF0091">
        <w:rPr>
          <w:rStyle w:val="BodyTextChar"/>
        </w:rPr>
        <w:t>MHz.</w:t>
      </w:r>
      <w:proofErr w:type="spellEnd"/>
      <w:r w:rsidRPr="00DF0091">
        <w:rPr>
          <w:rStyle w:val="BodyTextChar"/>
        </w:rPr>
        <w:t xml:space="preserve"> </w:t>
      </w:r>
      <w:r>
        <w:rPr>
          <w:rStyle w:val="BodyTextChar"/>
        </w:rPr>
        <w:t>The</w:t>
      </w:r>
      <w:r w:rsidRPr="00DF0091">
        <w:rPr>
          <w:rStyle w:val="BodyTextChar"/>
        </w:rPr>
        <w:t xml:space="preserve"> UE is configured with four component carriers (CC’s) totalling 80 MHz which are activated prior to </w:t>
      </w:r>
      <w:r w:rsidRPr="00DF0091">
        <w:rPr>
          <w:rStyle w:val="BodyTextChar"/>
        </w:rPr>
        <w:lastRenderedPageBreak/>
        <w:t>reception/transmission.</w:t>
      </w:r>
      <w:r w:rsidRPr="00D94931">
        <w:t xml:space="preserve"> </w:t>
      </w:r>
      <w:r>
        <w:t>As stated in the above agreement</w:t>
      </w:r>
      <w:r w:rsidRPr="00DF0091">
        <w:rPr>
          <w:rFonts w:eastAsia="PMingLiU" w:cs="Arial"/>
          <w:lang w:eastAsia="en-US"/>
        </w:rPr>
        <w:t xml:space="preserve">, LBT </w:t>
      </w:r>
      <w:r>
        <w:rPr>
          <w:rFonts w:eastAsia="PMingLiU" w:cs="Arial"/>
          <w:lang w:eastAsia="en-US"/>
        </w:rPr>
        <w:t>is</w:t>
      </w:r>
      <w:r w:rsidRPr="00DF0091">
        <w:rPr>
          <w:rFonts w:eastAsia="PMingLiU" w:cs="Arial"/>
          <w:lang w:eastAsia="en-US"/>
        </w:rPr>
        <w:t xml:space="preserve"> performed in units of 20 </w:t>
      </w:r>
      <w:proofErr w:type="spellStart"/>
      <w:r w:rsidRPr="00DF0091">
        <w:rPr>
          <w:rFonts w:eastAsia="PMingLiU" w:cs="Arial"/>
          <w:lang w:eastAsia="en-US"/>
        </w:rPr>
        <w:t>MH</w:t>
      </w:r>
      <w:r>
        <w:rPr>
          <w:rFonts w:eastAsia="PMingLiU" w:cs="Arial"/>
          <w:lang w:eastAsia="en-US"/>
        </w:rPr>
        <w:t>z.</w:t>
      </w:r>
      <w:proofErr w:type="spellEnd"/>
      <w:r w:rsidRPr="00C77B01">
        <w:rPr>
          <w:rFonts w:eastAsia="PMingLiU" w:cs="Arial"/>
          <w:lang w:eastAsia="en-US"/>
        </w:rPr>
        <w:t xml:space="preserve"> </w:t>
      </w:r>
      <w:r>
        <w:rPr>
          <w:rFonts w:eastAsia="PMingLiU" w:cs="Arial"/>
          <w:lang w:eastAsia="en-US"/>
        </w:rPr>
        <w:t>Hence, it makes sense to configure the individual CC’s with a bandwidth of 20 MHz such that the CC bandwidth and the LBT bandwidth are one and the same.</w:t>
      </w:r>
    </w:p>
    <w:p w14:paraId="5780FD8E" w14:textId="77777777" w:rsidR="00333690" w:rsidRDefault="00333690" w:rsidP="00333690">
      <w:pPr>
        <w:keepNext/>
        <w:overflowPunct/>
        <w:autoSpaceDE/>
        <w:autoSpaceDN/>
        <w:adjustRightInd/>
        <w:spacing w:after="0"/>
        <w:jc w:val="center"/>
        <w:textAlignment w:val="auto"/>
        <w:rPr>
          <w:rFonts w:cs="Arial"/>
          <w:noProof/>
        </w:rPr>
      </w:pPr>
    </w:p>
    <w:p w14:paraId="067216ED" w14:textId="77777777" w:rsidR="002604B8" w:rsidRDefault="00333690" w:rsidP="002604B8">
      <w:pPr>
        <w:keepNext/>
        <w:overflowPunct/>
        <w:autoSpaceDE/>
        <w:autoSpaceDN/>
        <w:adjustRightInd/>
        <w:spacing w:after="0"/>
        <w:jc w:val="center"/>
        <w:textAlignment w:val="auto"/>
      </w:pPr>
      <w:r>
        <w:rPr>
          <w:rFonts w:cs="Arial"/>
          <w:noProof/>
        </w:rPr>
        <w:drawing>
          <wp:inline distT="0" distB="0" distL="0" distR="0" wp14:anchorId="2B69997C" wp14:editId="0D31E159">
            <wp:extent cx="2150021" cy="2070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2951" r="60795" b="13753"/>
                    <a:stretch/>
                  </pic:blipFill>
                  <pic:spPr bwMode="auto">
                    <a:xfrm>
                      <a:off x="0" y="0"/>
                      <a:ext cx="2150959" cy="2071003"/>
                    </a:xfrm>
                    <a:prstGeom prst="rect">
                      <a:avLst/>
                    </a:prstGeom>
                    <a:noFill/>
                    <a:ln>
                      <a:noFill/>
                    </a:ln>
                    <a:extLst>
                      <a:ext uri="{53640926-AAD7-44D8-BBD7-CCE9431645EC}">
                        <a14:shadowObscured xmlns:a14="http://schemas.microsoft.com/office/drawing/2010/main"/>
                      </a:ext>
                    </a:extLst>
                  </pic:spPr>
                </pic:pic>
              </a:graphicData>
            </a:graphic>
          </wp:inline>
        </w:drawing>
      </w:r>
    </w:p>
    <w:p w14:paraId="0A8C1FB5" w14:textId="3D45C98B" w:rsidR="00333690" w:rsidRPr="002604B8" w:rsidRDefault="002604B8" w:rsidP="001C737F">
      <w:pPr>
        <w:pStyle w:val="Caption"/>
        <w:spacing w:before="0"/>
        <w:jc w:val="center"/>
      </w:pPr>
      <w:bookmarkStart w:id="3" w:name="_Ref1134826"/>
      <w:r>
        <w:t xml:space="preserve">Figure </w:t>
      </w:r>
      <w:r w:rsidR="00EE0DC0">
        <w:rPr>
          <w:noProof/>
        </w:rPr>
        <w:fldChar w:fldCharType="begin"/>
      </w:r>
      <w:r w:rsidR="00EE0DC0">
        <w:rPr>
          <w:noProof/>
        </w:rPr>
        <w:instrText xml:space="preserve"> SEQ Figure \* ARABIC </w:instrText>
      </w:r>
      <w:r w:rsidR="00EE0DC0">
        <w:rPr>
          <w:noProof/>
        </w:rPr>
        <w:fldChar w:fldCharType="separate"/>
      </w:r>
      <w:r w:rsidR="00953262">
        <w:rPr>
          <w:noProof/>
        </w:rPr>
        <w:t>1</w:t>
      </w:r>
      <w:r w:rsidR="00EE0DC0">
        <w:rPr>
          <w:noProof/>
        </w:rPr>
        <w:fldChar w:fldCharType="end"/>
      </w:r>
      <w:bookmarkEnd w:id="3"/>
      <w:r>
        <w:t xml:space="preserve">: </w:t>
      </w:r>
      <w:r w:rsidRPr="002604B8">
        <w:t>Wideband operation based on configuration of multipole serving cells</w:t>
      </w:r>
    </w:p>
    <w:p w14:paraId="3FEBAE68" w14:textId="3CD01C84" w:rsidR="00333690" w:rsidRDefault="00333690" w:rsidP="00333690">
      <w:pPr>
        <w:pStyle w:val="BodyText"/>
      </w:pPr>
      <w:r>
        <w:t xml:space="preserve">One claimed drawback of this approach is that each CC </w:t>
      </w:r>
      <w:r w:rsidR="00A25DC9">
        <w:t xml:space="preserve">requires </w:t>
      </w:r>
      <w:r>
        <w:t>guard band</w:t>
      </w:r>
      <w:r w:rsidR="00622EEA">
        <w:t>s</w:t>
      </w:r>
      <w:r>
        <w:t xml:space="preserve"> which reduces the spectral utilization efficiency compared to transmission on a single wideband CC. However, from RAN4 perspective there is no requirement that the guard bands between two or more </w:t>
      </w:r>
      <w:r w:rsidRPr="00D94931">
        <w:rPr>
          <w:i/>
        </w:rPr>
        <w:t>contiguous</w:t>
      </w:r>
      <w:r>
        <w:t xml:space="preserve"> component carriers are left empty. Hence, </w:t>
      </w:r>
      <w:r w:rsidR="00622EEA">
        <w:t xml:space="preserve">it should </w:t>
      </w:r>
      <w:r w:rsidR="00ED2DCE">
        <w:t xml:space="preserve">be supported that </w:t>
      </w:r>
      <w:r>
        <w:t xml:space="preserve">the transmitting device uses the guard REs and the receiving device assumes that </w:t>
      </w:r>
      <w:proofErr w:type="spellStart"/>
      <w:r>
        <w:t>PxSCH</w:t>
      </w:r>
      <w:proofErr w:type="spellEnd"/>
      <w:r>
        <w:t xml:space="preserve"> is mapped to these R</w:t>
      </w:r>
      <w:r w:rsidR="007F421A">
        <w:t>E</w:t>
      </w:r>
      <w:r>
        <w:t>s</w:t>
      </w:r>
      <w:r w:rsidR="007F421A">
        <w:t>:</w:t>
      </w:r>
    </w:p>
    <w:p w14:paraId="4F8E9150" w14:textId="77777777" w:rsidR="00333690" w:rsidRDefault="00333690" w:rsidP="00333690">
      <w:pPr>
        <w:pStyle w:val="Proposal"/>
      </w:pPr>
      <w:bookmarkStart w:id="4" w:name="_Toc1137792"/>
      <w:r>
        <w:t xml:space="preserve">For wideband operation supported with multiple serving cells, support utilization of the guard bands between two or more contiguous CCs for </w:t>
      </w:r>
      <w:proofErr w:type="spellStart"/>
      <w:r>
        <w:t>PxSCH</w:t>
      </w:r>
      <w:proofErr w:type="spellEnd"/>
      <w:r>
        <w:t xml:space="preserve"> transmission and reception (x = D for downlink and = U for uplink).</w:t>
      </w:r>
      <w:bookmarkEnd w:id="4"/>
    </w:p>
    <w:p w14:paraId="6B1BB4F5" w14:textId="48B264CA" w:rsidR="00353C6D" w:rsidRDefault="0020666F" w:rsidP="00353C6D">
      <w:pPr>
        <w:pStyle w:val="Heading1"/>
      </w:pPr>
      <w:r>
        <w:t>3</w:t>
      </w:r>
      <w:r w:rsidR="00353C6D">
        <w:tab/>
      </w:r>
      <w:r w:rsidR="003B4630">
        <w:t>Wideband Carriers and</w:t>
      </w:r>
      <w:r w:rsidR="003400F9">
        <w:t xml:space="preserve"> Channel Puncturing</w:t>
      </w:r>
    </w:p>
    <w:p w14:paraId="733583CF" w14:textId="1F8F1E04" w:rsidR="003400F9" w:rsidRDefault="003400F9" w:rsidP="003400F9">
      <w:pPr>
        <w:pStyle w:val="BodyText"/>
      </w:pPr>
      <w:r>
        <w:t xml:space="preserve">In RAN1#AH1901, the following agreement was made regarding DL wideband operation based on configuration of a single serving cell with bandwidth &gt;20 </w:t>
      </w:r>
      <w:proofErr w:type="spellStart"/>
      <w:r>
        <w:t>MHz</w:t>
      </w:r>
      <w:r w:rsidR="007F421A">
        <w:t>.</w:t>
      </w:r>
      <w:proofErr w:type="spellEnd"/>
      <w:r w:rsidR="007F421A">
        <w:t xml:space="preserve"> This agreement provided a down-selection of the 4 options listed in the </w:t>
      </w:r>
      <w:r w:rsidR="00801E75">
        <w:t xml:space="preserve">SI </w:t>
      </w:r>
      <w:r w:rsidR="007F421A">
        <w:t xml:space="preserve">agreement shown in Section 1 </w:t>
      </w:r>
      <w:r w:rsidR="00801E75">
        <w:t xml:space="preserve">to two options (Options 2 and 3), </w:t>
      </w:r>
      <w:r w:rsidR="007F421A">
        <w:t>at least for the downlink</w:t>
      </w:r>
      <w:r w:rsidR="00801E75">
        <w:t>:</w:t>
      </w:r>
    </w:p>
    <w:p w14:paraId="670E968E" w14:textId="77777777" w:rsidR="003400F9" w:rsidRPr="001243DE" w:rsidRDefault="003400F9" w:rsidP="003400F9">
      <w:pPr>
        <w:ind w:left="400"/>
        <w:rPr>
          <w:rFonts w:cs="Times"/>
          <w:lang w:eastAsia="x-none"/>
        </w:rPr>
      </w:pPr>
      <w:r w:rsidRPr="0098626F">
        <w:rPr>
          <w:rFonts w:cs="Times"/>
          <w:b/>
          <w:highlight w:val="green"/>
          <w:lang w:eastAsia="x-none"/>
        </w:rPr>
        <w:t>Agreement</w:t>
      </w:r>
      <w:r w:rsidRPr="001243DE">
        <w:rPr>
          <w:rFonts w:cs="Times"/>
          <w:highlight w:val="green"/>
          <w:lang w:eastAsia="x-none"/>
        </w:rPr>
        <w:t>:</w:t>
      </w:r>
    </w:p>
    <w:p w14:paraId="35B2B741" w14:textId="77777777" w:rsidR="003400F9" w:rsidRPr="0098626F" w:rsidRDefault="003400F9" w:rsidP="003400F9">
      <w:pPr>
        <w:numPr>
          <w:ilvl w:val="0"/>
          <w:numId w:val="30"/>
        </w:numPr>
        <w:overflowPunct/>
        <w:autoSpaceDE/>
        <w:autoSpaceDN/>
        <w:adjustRightInd/>
        <w:spacing w:after="0"/>
        <w:ind w:left="800"/>
        <w:textAlignment w:val="auto"/>
        <w:rPr>
          <w:rFonts w:cs="Times"/>
          <w:i/>
          <w:lang w:val="en-US" w:eastAsia="x-none"/>
        </w:rPr>
      </w:pPr>
      <w:r w:rsidRPr="0098626F">
        <w:rPr>
          <w:rFonts w:cs="Times"/>
          <w:i/>
          <w:lang w:val="en-US" w:eastAsia="x-none"/>
        </w:rPr>
        <w:t xml:space="preserve">For wideband operation in DL with a single serving cell operation </w:t>
      </w:r>
      <w:r w:rsidRPr="0098626F">
        <w:rPr>
          <w:rFonts w:cs="Times"/>
          <w:i/>
          <w:lang w:eastAsia="x-none"/>
        </w:rPr>
        <w:t>within a carrier with bandwidth larger than 20 MHz</w:t>
      </w:r>
    </w:p>
    <w:p w14:paraId="242D0125" w14:textId="77777777" w:rsidR="003400F9" w:rsidRPr="0098626F" w:rsidRDefault="003400F9" w:rsidP="003400F9">
      <w:pPr>
        <w:numPr>
          <w:ilvl w:val="1"/>
          <w:numId w:val="30"/>
        </w:numPr>
        <w:overflowPunct/>
        <w:autoSpaceDE/>
        <w:autoSpaceDN/>
        <w:adjustRightInd/>
        <w:spacing w:after="0"/>
        <w:ind w:left="1200"/>
        <w:textAlignment w:val="auto"/>
        <w:rPr>
          <w:rFonts w:cs="Times"/>
          <w:i/>
          <w:lang w:val="en-US" w:eastAsia="x-none"/>
        </w:rPr>
      </w:pPr>
      <w:r w:rsidRPr="0098626F">
        <w:rPr>
          <w:rFonts w:cs="Times"/>
          <w:i/>
          <w:lang w:val="en-US" w:eastAsia="x-none"/>
        </w:rPr>
        <w:t xml:space="preserve">Multiple BWPs can be configured, single BWP activated, </w:t>
      </w:r>
      <w:proofErr w:type="spellStart"/>
      <w:r w:rsidRPr="0098626F">
        <w:rPr>
          <w:rFonts w:cs="Times"/>
          <w:i/>
          <w:lang w:val="en-US" w:eastAsia="x-none"/>
        </w:rPr>
        <w:t>gNB</w:t>
      </w:r>
      <w:proofErr w:type="spellEnd"/>
      <w:r w:rsidRPr="0098626F">
        <w:rPr>
          <w:rFonts w:cs="Times"/>
          <w:i/>
          <w:lang w:val="en-US" w:eastAsia="x-none"/>
        </w:rPr>
        <w:t xml:space="preserve"> may transmit PDSCH on </w:t>
      </w:r>
      <w:r w:rsidRPr="00AC1431">
        <w:rPr>
          <w:rFonts w:cs="Times"/>
          <w:i/>
          <w:lang w:val="en-US" w:eastAsia="x-none"/>
        </w:rPr>
        <w:t>parts or whole of single active BWP</w:t>
      </w:r>
      <w:r w:rsidRPr="0098626F">
        <w:rPr>
          <w:rFonts w:cs="Times"/>
          <w:i/>
          <w:lang w:val="en-US" w:eastAsia="x-none"/>
        </w:rPr>
        <w:t xml:space="preserve"> where CCA is successful at </w:t>
      </w:r>
      <w:proofErr w:type="spellStart"/>
      <w:r w:rsidRPr="0098626F">
        <w:rPr>
          <w:rFonts w:cs="Times"/>
          <w:i/>
          <w:lang w:val="en-US" w:eastAsia="x-none"/>
        </w:rPr>
        <w:t>gNB</w:t>
      </w:r>
      <w:proofErr w:type="spellEnd"/>
      <w:r w:rsidRPr="0098626F">
        <w:rPr>
          <w:rFonts w:cs="Times"/>
          <w:i/>
          <w:lang w:val="en-US" w:eastAsia="x-none"/>
        </w:rPr>
        <w:t xml:space="preserve"> (i.e., option 2 and 3 from previous agreement)</w:t>
      </w:r>
    </w:p>
    <w:p w14:paraId="6D91BBAF" w14:textId="77777777" w:rsidR="003400F9" w:rsidRPr="0098626F" w:rsidRDefault="003400F9" w:rsidP="003400F9">
      <w:pPr>
        <w:numPr>
          <w:ilvl w:val="2"/>
          <w:numId w:val="30"/>
        </w:numPr>
        <w:overflowPunct/>
        <w:autoSpaceDE/>
        <w:autoSpaceDN/>
        <w:adjustRightInd/>
        <w:spacing w:after="0"/>
        <w:ind w:left="1600"/>
        <w:textAlignment w:val="auto"/>
        <w:rPr>
          <w:rFonts w:cs="Times"/>
          <w:i/>
          <w:lang w:val="en-US" w:eastAsia="x-none"/>
        </w:rPr>
      </w:pPr>
      <w:r w:rsidRPr="0098626F">
        <w:rPr>
          <w:rFonts w:cs="Times"/>
          <w:i/>
          <w:lang w:val="en-US" w:eastAsia="x-none"/>
        </w:rPr>
        <w:t xml:space="preserve">FFS: Restrictions on supportable gaps and combinations of gaps between </w:t>
      </w:r>
      <w:proofErr w:type="spellStart"/>
      <w:r w:rsidRPr="0098626F">
        <w:rPr>
          <w:rFonts w:cs="Times"/>
          <w:i/>
          <w:lang w:val="en-US" w:eastAsia="x-none"/>
        </w:rPr>
        <w:t>discontiguous</w:t>
      </w:r>
      <w:proofErr w:type="spellEnd"/>
      <w:r w:rsidRPr="0098626F">
        <w:rPr>
          <w:rFonts w:cs="Times"/>
          <w:i/>
          <w:lang w:val="en-US" w:eastAsia="x-none"/>
        </w:rPr>
        <w:t xml:space="preserve"> blocks where </w:t>
      </w:r>
    </w:p>
    <w:p w14:paraId="0ADA2136" w14:textId="77777777" w:rsidR="003400F9" w:rsidRPr="0098626F" w:rsidRDefault="003400F9" w:rsidP="003400F9">
      <w:pPr>
        <w:numPr>
          <w:ilvl w:val="3"/>
          <w:numId w:val="30"/>
        </w:numPr>
        <w:overflowPunct/>
        <w:autoSpaceDE/>
        <w:autoSpaceDN/>
        <w:adjustRightInd/>
        <w:spacing w:after="0"/>
        <w:ind w:left="2000"/>
        <w:textAlignment w:val="auto"/>
        <w:rPr>
          <w:rFonts w:cs="Times"/>
          <w:i/>
          <w:lang w:val="en-US" w:eastAsia="x-none"/>
        </w:rPr>
      </w:pPr>
      <w:r w:rsidRPr="0098626F">
        <w:rPr>
          <w:rFonts w:cs="Times"/>
          <w:i/>
          <w:lang w:val="en-US" w:eastAsia="x-none"/>
        </w:rPr>
        <w:t>each block spans contiguous (one or) multiple successful LBT sub-bands</w:t>
      </w:r>
    </w:p>
    <w:p w14:paraId="6D38D92D" w14:textId="77777777" w:rsidR="003400F9" w:rsidRPr="0098626F" w:rsidRDefault="003400F9" w:rsidP="003400F9">
      <w:pPr>
        <w:numPr>
          <w:ilvl w:val="3"/>
          <w:numId w:val="30"/>
        </w:numPr>
        <w:overflowPunct/>
        <w:autoSpaceDE/>
        <w:autoSpaceDN/>
        <w:adjustRightInd/>
        <w:spacing w:after="0"/>
        <w:ind w:left="2000"/>
        <w:textAlignment w:val="auto"/>
        <w:rPr>
          <w:rFonts w:cs="Times"/>
          <w:i/>
          <w:lang w:val="en-US" w:eastAsia="x-none"/>
        </w:rPr>
      </w:pPr>
      <w:r w:rsidRPr="0098626F">
        <w:rPr>
          <w:rFonts w:cs="Times"/>
          <w:i/>
          <w:lang w:val="en-US" w:eastAsia="x-none"/>
        </w:rPr>
        <w:t>each gap spans one or multiple contiguous unsuccessful LBT sub-bands</w:t>
      </w:r>
    </w:p>
    <w:p w14:paraId="38F074E8" w14:textId="77777777" w:rsidR="003400F9" w:rsidRPr="0098626F" w:rsidRDefault="003400F9" w:rsidP="003400F9">
      <w:pPr>
        <w:numPr>
          <w:ilvl w:val="2"/>
          <w:numId w:val="30"/>
        </w:numPr>
        <w:overflowPunct/>
        <w:autoSpaceDE/>
        <w:autoSpaceDN/>
        <w:adjustRightInd/>
        <w:spacing w:after="0"/>
        <w:ind w:left="1600"/>
        <w:textAlignment w:val="auto"/>
        <w:rPr>
          <w:rFonts w:cs="Times"/>
          <w:i/>
          <w:lang w:val="en-US" w:eastAsia="x-none"/>
        </w:rPr>
      </w:pPr>
      <w:r w:rsidRPr="0098626F">
        <w:rPr>
          <w:rFonts w:cs="Times"/>
          <w:i/>
          <w:lang w:val="en-US" w:eastAsia="x-none"/>
        </w:rPr>
        <w:t>FFS: Transmission bandwidth adaptation delay, potentially different delay for e.g., different number of supported gaps, different transmission bandwidths and different positions of the LBT sub-bands where transmissions occur</w:t>
      </w:r>
    </w:p>
    <w:p w14:paraId="7BC1AEEF" w14:textId="77777777" w:rsidR="003400F9" w:rsidRPr="0098626F" w:rsidRDefault="003400F9" w:rsidP="003400F9">
      <w:pPr>
        <w:numPr>
          <w:ilvl w:val="2"/>
          <w:numId w:val="30"/>
        </w:numPr>
        <w:overflowPunct/>
        <w:autoSpaceDE/>
        <w:autoSpaceDN/>
        <w:adjustRightInd/>
        <w:spacing w:after="0"/>
        <w:ind w:left="1600"/>
        <w:textAlignment w:val="auto"/>
        <w:rPr>
          <w:rFonts w:cs="Times"/>
          <w:i/>
          <w:lang w:val="en-US" w:eastAsia="x-none"/>
        </w:rPr>
      </w:pPr>
      <w:r w:rsidRPr="0098626F">
        <w:rPr>
          <w:rFonts w:cs="Times"/>
          <w:i/>
          <w:lang w:val="en-US" w:eastAsia="x-none"/>
        </w:rPr>
        <w:t>FFS: Limit on the occupied LBT sub-bands due to regulation and coexistence considerations (not intended to imply that regulation and coexistence considerations will not be addressed)</w:t>
      </w:r>
    </w:p>
    <w:p w14:paraId="5061120A" w14:textId="77777777" w:rsidR="003400F9" w:rsidRPr="0098626F" w:rsidRDefault="003400F9" w:rsidP="003400F9">
      <w:pPr>
        <w:numPr>
          <w:ilvl w:val="2"/>
          <w:numId w:val="30"/>
        </w:numPr>
        <w:overflowPunct/>
        <w:autoSpaceDE/>
        <w:autoSpaceDN/>
        <w:adjustRightInd/>
        <w:spacing w:after="0"/>
        <w:ind w:left="1600"/>
        <w:textAlignment w:val="auto"/>
        <w:rPr>
          <w:rFonts w:cs="Times"/>
          <w:i/>
          <w:lang w:val="en-US" w:eastAsia="x-none"/>
        </w:rPr>
      </w:pPr>
      <w:r w:rsidRPr="0098626F">
        <w:rPr>
          <w:rFonts w:cs="Times"/>
          <w:i/>
          <w:lang w:val="en-US" w:eastAsia="x-none"/>
        </w:rPr>
        <w:t xml:space="preserve">FFS: Whether/how to indicate </w:t>
      </w:r>
      <w:proofErr w:type="spellStart"/>
      <w:r w:rsidRPr="0098626F">
        <w:rPr>
          <w:rFonts w:cs="Times"/>
          <w:i/>
          <w:lang w:val="en-US" w:eastAsia="x-none"/>
        </w:rPr>
        <w:t>gNB’s</w:t>
      </w:r>
      <w:proofErr w:type="spellEnd"/>
      <w:r w:rsidRPr="0098626F">
        <w:rPr>
          <w:rFonts w:cs="Times"/>
          <w:i/>
          <w:lang w:val="en-US" w:eastAsia="x-none"/>
        </w:rPr>
        <w:t xml:space="preserve"> transmitted LBT sub-bands</w:t>
      </w:r>
    </w:p>
    <w:p w14:paraId="36FDF65B" w14:textId="77777777" w:rsidR="003400F9" w:rsidRPr="0098626F" w:rsidRDefault="003400F9" w:rsidP="003400F9">
      <w:pPr>
        <w:numPr>
          <w:ilvl w:val="2"/>
          <w:numId w:val="30"/>
        </w:numPr>
        <w:overflowPunct/>
        <w:autoSpaceDE/>
        <w:autoSpaceDN/>
        <w:adjustRightInd/>
        <w:spacing w:after="0"/>
        <w:ind w:left="1600"/>
        <w:textAlignment w:val="auto"/>
        <w:rPr>
          <w:rFonts w:cs="Times"/>
          <w:i/>
          <w:lang w:val="en-US" w:eastAsia="x-none"/>
        </w:rPr>
      </w:pPr>
      <w:r w:rsidRPr="0098626F">
        <w:rPr>
          <w:rFonts w:cs="Times"/>
          <w:i/>
          <w:lang w:val="en-US" w:eastAsia="x-none"/>
        </w:rPr>
        <w:t xml:space="preserve">FFS: Enhancements to PDCCH/PDSCH configuration/transmission for the parts of BWP where </w:t>
      </w:r>
      <w:proofErr w:type="spellStart"/>
      <w:r w:rsidRPr="0098626F">
        <w:rPr>
          <w:rFonts w:cs="Times"/>
          <w:i/>
          <w:lang w:val="en-US" w:eastAsia="x-none"/>
        </w:rPr>
        <w:t>gNB</w:t>
      </w:r>
      <w:proofErr w:type="spellEnd"/>
      <w:r w:rsidRPr="0098626F">
        <w:rPr>
          <w:rFonts w:cs="Times"/>
          <w:i/>
          <w:lang w:val="en-US" w:eastAsia="x-none"/>
        </w:rPr>
        <w:t xml:space="preserve"> does not transmit due to CCA failure</w:t>
      </w:r>
    </w:p>
    <w:p w14:paraId="47E0CA0A" w14:textId="77777777" w:rsidR="003400F9" w:rsidRPr="0098626F" w:rsidRDefault="003400F9" w:rsidP="003400F9">
      <w:pPr>
        <w:numPr>
          <w:ilvl w:val="0"/>
          <w:numId w:val="30"/>
        </w:numPr>
        <w:overflowPunct/>
        <w:autoSpaceDE/>
        <w:autoSpaceDN/>
        <w:adjustRightInd/>
        <w:spacing w:after="0"/>
        <w:ind w:left="800"/>
        <w:textAlignment w:val="auto"/>
        <w:rPr>
          <w:rFonts w:cs="Times"/>
          <w:i/>
          <w:lang w:val="en-US" w:eastAsia="x-none"/>
        </w:rPr>
      </w:pPr>
      <w:r w:rsidRPr="0098626F">
        <w:rPr>
          <w:rFonts w:cs="Times"/>
          <w:i/>
          <w:lang w:val="en-US" w:eastAsia="x-none"/>
        </w:rPr>
        <w:t>Send LS to RAN4 to inform above decision with the description that RAN1 requires RAN4’s feedback on the first three FFS parts in addition to what was requested in earlier LSs.</w:t>
      </w:r>
    </w:p>
    <w:p w14:paraId="15B3B854" w14:textId="77777777" w:rsidR="003400F9" w:rsidRDefault="003400F9" w:rsidP="003400F9">
      <w:pPr>
        <w:pStyle w:val="BodyText"/>
      </w:pPr>
    </w:p>
    <w:p w14:paraId="2AB32810" w14:textId="5E5C0529" w:rsidR="003400F9" w:rsidRDefault="00622FF2" w:rsidP="003400F9">
      <w:pPr>
        <w:pStyle w:val="BodyText"/>
      </w:pPr>
      <w:r>
        <w:t>With this agreement</w:t>
      </w:r>
      <w:r w:rsidR="003400F9">
        <w:t xml:space="preserve">, if an 80 MHz BWP is configured to the UE, </w:t>
      </w:r>
      <w:r>
        <w:t xml:space="preserve">PDSCH </w:t>
      </w:r>
      <w:r w:rsidR="003400F9">
        <w:t xml:space="preserve">transmission can occur on one or more parts or a whole of the 80 MHz BWP, where each part consists of an integer number of 20 MHz “LBT </w:t>
      </w:r>
      <w:r w:rsidR="003400F9">
        <w:lastRenderedPageBreak/>
        <w:t>sub-bands.” Each LBT sub-band coincides with a 20 MHz channel. For this reason, we refer to this scheme as “Channel Puncturing,” where one or more 20 MHz channels may be punctured from the 80 MHz BWP. While in principle</w:t>
      </w:r>
      <w:r w:rsidR="008A1EE3">
        <w:t xml:space="preserve"> </w:t>
      </w:r>
      <w:r w:rsidR="003400F9">
        <w:t xml:space="preserve">any one or more channels may be punctured, RAN1 has requested the following feedback from RAN4 in </w:t>
      </w:r>
      <w:proofErr w:type="gramStart"/>
      <w:r w:rsidR="003400F9">
        <w:t>an</w:t>
      </w:r>
      <w:proofErr w:type="gramEnd"/>
      <w:r w:rsidR="003400F9">
        <w:t xml:space="preserve"> LS that was sent in RAN1#AH1901 (see</w:t>
      </w:r>
      <w:r w:rsidR="003C3726">
        <w:t xml:space="preserve"> </w:t>
      </w:r>
      <w:r w:rsidR="003C3726">
        <w:fldChar w:fldCharType="begin"/>
      </w:r>
      <w:r w:rsidR="003C3726">
        <w:instrText xml:space="preserve"> REF _Ref1136318 \r \h </w:instrText>
      </w:r>
      <w:r w:rsidR="003C3726">
        <w:fldChar w:fldCharType="separate"/>
      </w:r>
      <w:r w:rsidR="00953262">
        <w:t>[3]</w:t>
      </w:r>
      <w:r w:rsidR="003C3726">
        <w:fldChar w:fldCharType="end"/>
      </w:r>
      <w:r w:rsidR="003400F9">
        <w:t>)</w:t>
      </w:r>
    </w:p>
    <w:p w14:paraId="3614B479" w14:textId="77777777" w:rsidR="003400F9" w:rsidRDefault="003400F9" w:rsidP="003400F9">
      <w:pPr>
        <w:pStyle w:val="BodyText"/>
        <w:numPr>
          <w:ilvl w:val="0"/>
          <w:numId w:val="32"/>
        </w:numPr>
      </w:pPr>
      <w:r>
        <w:t>Restrictions on channel puncturing, e.g.,</w:t>
      </w:r>
    </w:p>
    <w:p w14:paraId="535C4472" w14:textId="77777777" w:rsidR="003400F9" w:rsidRDefault="003400F9" w:rsidP="003400F9">
      <w:pPr>
        <w:pStyle w:val="BodyText"/>
        <w:numPr>
          <w:ilvl w:val="1"/>
          <w:numId w:val="32"/>
        </w:numPr>
      </w:pPr>
      <w:r>
        <w:t>Contiguous vs. non-contiguous</w:t>
      </w:r>
    </w:p>
    <w:p w14:paraId="15BAB5FD" w14:textId="77777777" w:rsidR="003400F9" w:rsidRDefault="003400F9" w:rsidP="003400F9">
      <w:pPr>
        <w:pStyle w:val="BodyText"/>
        <w:numPr>
          <w:ilvl w:val="1"/>
          <w:numId w:val="32"/>
        </w:numPr>
      </w:pPr>
      <w:r>
        <w:t>All channels vs. none</w:t>
      </w:r>
    </w:p>
    <w:p w14:paraId="36E465F4" w14:textId="77777777" w:rsidR="003400F9" w:rsidRDefault="003400F9" w:rsidP="003400F9">
      <w:pPr>
        <w:pStyle w:val="BodyText"/>
        <w:numPr>
          <w:ilvl w:val="0"/>
          <w:numId w:val="32"/>
        </w:numPr>
      </w:pPr>
      <w:r>
        <w:t xml:space="preserve">Filter adaptation delay when the puncturing pattern changes </w:t>
      </w:r>
    </w:p>
    <w:p w14:paraId="5A93CD3D" w14:textId="056EDD0E" w:rsidR="003400F9" w:rsidRPr="003400F9" w:rsidRDefault="003400F9" w:rsidP="008A1EE3">
      <w:pPr>
        <w:pStyle w:val="BodyText"/>
      </w:pPr>
      <w:r>
        <w:t xml:space="preserve">The LS also requests RAN4 to provide feedback on pending questions from an earlier LS (see </w:t>
      </w:r>
      <w:r>
        <w:fldChar w:fldCharType="begin"/>
      </w:r>
      <w:r>
        <w:instrText xml:space="preserve"> REF _Ref525666947 \r \h </w:instrText>
      </w:r>
      <w:r>
        <w:fldChar w:fldCharType="separate"/>
      </w:r>
      <w:r w:rsidR="00953262">
        <w:t>[4]</w:t>
      </w:r>
      <w:r>
        <w:fldChar w:fldCharType="end"/>
      </w:r>
      <w:r>
        <w:t>) about the need for new RF requirements including in-carrier adjacent channel leakage/blocking and adaptive filtering.</w:t>
      </w:r>
    </w:p>
    <w:p w14:paraId="6F71D019" w14:textId="69197DE4" w:rsidR="00D90B60" w:rsidRDefault="00ED7164" w:rsidP="00D90B60">
      <w:pPr>
        <w:pStyle w:val="BodyText"/>
        <w:keepNext/>
        <w:jc w:val="left"/>
      </w:pPr>
      <w:r>
        <w:fldChar w:fldCharType="begin"/>
      </w:r>
      <w:r>
        <w:instrText xml:space="preserve"> REF _Ref1132022 \h </w:instrText>
      </w:r>
      <w:r w:rsidR="00D90B60">
        <w:instrText xml:space="preserve"> \* MERGEFORMAT </w:instrText>
      </w:r>
      <w:r>
        <w:fldChar w:fldCharType="separate"/>
      </w:r>
      <w:r w:rsidR="00953262">
        <w:t xml:space="preserve">Figure </w:t>
      </w:r>
      <w:r w:rsidR="00953262">
        <w:rPr>
          <w:noProof/>
        </w:rPr>
        <w:t>2</w:t>
      </w:r>
      <w:r>
        <w:fldChar w:fldCharType="end"/>
      </w:r>
      <w:r w:rsidR="00D90B60">
        <w:t xml:space="preserve"> shows several possible scenarios for channel puncturing based on the outcome of LBT in each 20 MHz LBT </w:t>
      </w:r>
      <w:proofErr w:type="spellStart"/>
      <w:r w:rsidR="00D90B60">
        <w:t>subband</w:t>
      </w:r>
      <w:proofErr w:type="spellEnd"/>
      <w:r w:rsidR="00D90B60">
        <w:t>. The left most scenario is for the case when LBT is successful in all channels, the middle 4 scenarios</w:t>
      </w:r>
      <w:r w:rsidR="00FF0EC1">
        <w:t xml:space="preserve"> when LBT is successful in contiguous channels, and the rightmost two scenarios when LBT is successful in non-contiguous channels.</w:t>
      </w:r>
    </w:p>
    <w:p w14:paraId="2E1BD3B0" w14:textId="7C493189" w:rsidR="00F11B64" w:rsidRDefault="00476AF8" w:rsidP="00D90B60">
      <w:pPr>
        <w:pStyle w:val="BodyText"/>
        <w:keepNext/>
        <w:jc w:val="left"/>
      </w:pPr>
      <w:r>
        <w:rPr>
          <w:noProof/>
        </w:rPr>
        <w:drawing>
          <wp:inline distT="0" distB="0" distL="0" distR="0" wp14:anchorId="206D6C05" wp14:editId="482B3C4A">
            <wp:extent cx="6400800" cy="2798064"/>
            <wp:effectExtent l="0" t="0" r="0" b="0"/>
            <wp:docPr id="1" name="Picture 1" descr="example LBT ca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ample LBT case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0" cy="2798064"/>
                    </a:xfrm>
                    <a:prstGeom prst="rect">
                      <a:avLst/>
                    </a:prstGeom>
                    <a:noFill/>
                    <a:ln>
                      <a:noFill/>
                    </a:ln>
                  </pic:spPr>
                </pic:pic>
              </a:graphicData>
            </a:graphic>
          </wp:inline>
        </w:drawing>
      </w:r>
    </w:p>
    <w:p w14:paraId="5798EA9D" w14:textId="625C95A4" w:rsidR="00476AF8" w:rsidRDefault="00F11B64" w:rsidP="001C737F">
      <w:pPr>
        <w:pStyle w:val="Caption"/>
        <w:spacing w:before="0"/>
        <w:jc w:val="center"/>
      </w:pPr>
      <w:bookmarkStart w:id="5" w:name="_Ref1132022"/>
      <w:bookmarkStart w:id="6" w:name="_Ref1132018"/>
      <w:r>
        <w:t xml:space="preserve">Figure </w:t>
      </w:r>
      <w:r w:rsidR="00EE0DC0">
        <w:rPr>
          <w:noProof/>
        </w:rPr>
        <w:fldChar w:fldCharType="begin"/>
      </w:r>
      <w:r w:rsidR="00EE0DC0">
        <w:rPr>
          <w:noProof/>
        </w:rPr>
        <w:instrText xml:space="preserve"> SEQ Figure \* ARABIC </w:instrText>
      </w:r>
      <w:r w:rsidR="00EE0DC0">
        <w:rPr>
          <w:noProof/>
        </w:rPr>
        <w:fldChar w:fldCharType="separate"/>
      </w:r>
      <w:r w:rsidR="00953262">
        <w:rPr>
          <w:noProof/>
        </w:rPr>
        <w:t>2</w:t>
      </w:r>
      <w:r w:rsidR="00EE0DC0">
        <w:rPr>
          <w:noProof/>
        </w:rPr>
        <w:fldChar w:fldCharType="end"/>
      </w:r>
      <w:bookmarkEnd w:id="5"/>
      <w:r>
        <w:t xml:space="preserve">: </w:t>
      </w:r>
      <w:r w:rsidR="001C737F">
        <w:t xml:space="preserve">Wideband operation based on configuration of a single serving cell. </w:t>
      </w:r>
      <w:r>
        <w:t xml:space="preserve">Various channel puncturing </w:t>
      </w:r>
      <w:r w:rsidR="00835488">
        <w:t>scenarios</w:t>
      </w:r>
      <w:r>
        <w:t xml:space="preserve"> based on LBT</w:t>
      </w:r>
      <w:bookmarkEnd w:id="6"/>
      <w:r w:rsidR="00835488">
        <w:t xml:space="preserve"> outcome are illustrate.</w:t>
      </w:r>
    </w:p>
    <w:p w14:paraId="6FB9FA4F" w14:textId="32C30F08" w:rsidR="00B63395" w:rsidRDefault="00384667" w:rsidP="000962B9">
      <w:pPr>
        <w:pStyle w:val="BodyText"/>
      </w:pPr>
      <w:r>
        <w:t xml:space="preserve">Clearly, </w:t>
      </w:r>
      <w:r w:rsidR="004918DC">
        <w:t xml:space="preserve">the simplest of these scenarios is the left-most one in which transmission occurs on all </w:t>
      </w:r>
      <w:r w:rsidR="00FB6C5B">
        <w:t>channels (no channel puncturing). If this was the only scenario</w:t>
      </w:r>
      <w:r w:rsidR="00E81737">
        <w:t xml:space="preserve"> that RAN4 supports</w:t>
      </w:r>
      <w:r w:rsidR="00F41EFE">
        <w:t xml:space="preserve">, i.e., if RAN4 is not able to define RF requirements for the </w:t>
      </w:r>
      <w:r w:rsidR="002878F6">
        <w:t xml:space="preserve">other scenarios, then </w:t>
      </w:r>
      <w:r w:rsidR="009912EB">
        <w:t xml:space="preserve">there would </w:t>
      </w:r>
      <w:r w:rsidR="00B301DA">
        <w:t xml:space="preserve">still </w:t>
      </w:r>
      <w:r w:rsidR="009912EB">
        <w:t>exist two complementary solutions that can cover a wide range of deployment scenarios. For example, in the 5 GHz band where it is quite likely that LBT can fail on</w:t>
      </w:r>
      <w:r w:rsidR="005633D6">
        <w:t xml:space="preserve"> individual 20 MHz channels, CA-based wideband operation (multiple serving cells) can be configured. Since RAN4 specifications </w:t>
      </w:r>
      <w:r w:rsidR="007A71B5">
        <w:t xml:space="preserve">on CACLR and blocking </w:t>
      </w:r>
      <w:r w:rsidR="005633D6">
        <w:t>have already been developed for this</w:t>
      </w:r>
      <w:r w:rsidR="00BA1C8F">
        <w:t xml:space="preserve"> mode</w:t>
      </w:r>
      <w:r w:rsidR="005633D6">
        <w:t xml:space="preserve"> </w:t>
      </w:r>
      <w:r w:rsidR="007A71B5">
        <w:t xml:space="preserve">for LTE-LAA, the amount of </w:t>
      </w:r>
      <w:r w:rsidR="00D64359">
        <w:t xml:space="preserve">RAN4 </w:t>
      </w:r>
      <w:r w:rsidR="007A71B5">
        <w:t xml:space="preserve">work is minimal to port these specifications </w:t>
      </w:r>
      <w:r w:rsidR="002133A3">
        <w:t>to</w:t>
      </w:r>
      <w:r w:rsidR="007A71B5">
        <w:t xml:space="preserve"> NR-U</w:t>
      </w:r>
      <w:r w:rsidR="00BA1C8F">
        <w:t>.</w:t>
      </w:r>
    </w:p>
    <w:p w14:paraId="5151E5E2" w14:textId="4308C831" w:rsidR="001C37F1" w:rsidRDefault="00BA1C8F" w:rsidP="000962B9">
      <w:pPr>
        <w:pStyle w:val="BodyText"/>
      </w:pPr>
      <w:r>
        <w:t xml:space="preserve">In new bands, e.g., 6 GHz, </w:t>
      </w:r>
      <w:r w:rsidR="00C714F2">
        <w:t xml:space="preserve">if the </w:t>
      </w:r>
      <w:r w:rsidR="00827EAF">
        <w:t xml:space="preserve">basic channel unit is defined to be </w:t>
      </w:r>
      <w:r w:rsidR="0042196D">
        <w:t>wider than in 5 GHz,</w:t>
      </w:r>
      <w:r w:rsidR="00827EAF">
        <w:t xml:space="preserve"> </w:t>
      </w:r>
      <w:r w:rsidR="00774B35">
        <w:t xml:space="preserve">say 80 MHz, then it </w:t>
      </w:r>
      <w:r w:rsidR="00D64359">
        <w:t>is likely</w:t>
      </w:r>
      <w:r w:rsidR="00774B35">
        <w:t xml:space="preserve"> that the LBT bandwidth would be</w:t>
      </w:r>
      <w:r w:rsidR="002604B8">
        <w:t xml:space="preserve"> </w:t>
      </w:r>
      <w:r w:rsidR="0042196D">
        <w:t xml:space="preserve">commensurate </w:t>
      </w:r>
      <w:r w:rsidR="002604B8">
        <w:t xml:space="preserve">with the channel bandwidth. </w:t>
      </w:r>
      <w:r w:rsidR="0042196D">
        <w:t xml:space="preserve">In other words, both the channel and the LBT bandwidths would be </w:t>
      </w:r>
      <w:r w:rsidR="00B47883">
        <w:t xml:space="preserve">the same, e.g., </w:t>
      </w:r>
      <w:r w:rsidR="0042196D">
        <w:t xml:space="preserve">80 </w:t>
      </w:r>
      <w:proofErr w:type="spellStart"/>
      <w:r w:rsidR="0042196D">
        <w:t>MHz.</w:t>
      </w:r>
      <w:proofErr w:type="spellEnd"/>
      <w:r w:rsidR="0042196D">
        <w:t xml:space="preserve"> </w:t>
      </w:r>
      <w:r w:rsidR="002604B8">
        <w:t xml:space="preserve">This is then identical to the left-most scenario in </w:t>
      </w:r>
      <w:r w:rsidR="002604B8">
        <w:fldChar w:fldCharType="begin"/>
      </w:r>
      <w:r w:rsidR="002604B8">
        <w:instrText xml:space="preserve"> REF _Ref1132022 \h </w:instrText>
      </w:r>
      <w:r w:rsidR="002604B8">
        <w:fldChar w:fldCharType="separate"/>
      </w:r>
      <w:r w:rsidR="00953262">
        <w:t xml:space="preserve">Figure </w:t>
      </w:r>
      <w:r w:rsidR="00953262">
        <w:rPr>
          <w:noProof/>
        </w:rPr>
        <w:t>2</w:t>
      </w:r>
      <w:r w:rsidR="002604B8">
        <w:fldChar w:fldCharType="end"/>
      </w:r>
      <w:r w:rsidR="0042196D">
        <w:t xml:space="preserve">. </w:t>
      </w:r>
      <w:r w:rsidR="0076084D">
        <w:t xml:space="preserve">With this mode of operation, very wide bandwidth in new bands can be supported </w:t>
      </w:r>
      <w:r w:rsidR="002E4632">
        <w:t xml:space="preserve">without the need for aggregation of </w:t>
      </w:r>
      <w:proofErr w:type="gramStart"/>
      <w:r w:rsidR="002E4632">
        <w:t>a large number of</w:t>
      </w:r>
      <w:proofErr w:type="gramEnd"/>
      <w:r w:rsidR="002E4632">
        <w:t xml:space="preserve"> carriers.</w:t>
      </w:r>
    </w:p>
    <w:p w14:paraId="6163B857" w14:textId="56B29A71" w:rsidR="00D61EFC" w:rsidRDefault="000C1DA7" w:rsidP="00D61EFC">
      <w:pPr>
        <w:pStyle w:val="IvDInstructiontext"/>
        <w:spacing w:after="120"/>
        <w:jc w:val="both"/>
        <w:rPr>
          <w:rStyle w:val="IvDbodytextChar"/>
          <w:i w:val="0"/>
          <w:color w:val="auto"/>
          <w:sz w:val="20"/>
          <w:szCs w:val="20"/>
        </w:rPr>
      </w:pPr>
      <w:r>
        <w:rPr>
          <w:rStyle w:val="IvDbodytextChar"/>
          <w:i w:val="0"/>
          <w:color w:val="auto"/>
          <w:sz w:val="20"/>
          <w:szCs w:val="20"/>
        </w:rPr>
        <w:lastRenderedPageBreak/>
        <w:t xml:space="preserve">Another drawback of channel puncturing is as follows. </w:t>
      </w:r>
      <w:r w:rsidR="00D61EFC">
        <w:rPr>
          <w:rStyle w:val="IvDbodytextChar"/>
          <w:i w:val="0"/>
          <w:color w:val="auto"/>
          <w:sz w:val="20"/>
          <w:szCs w:val="20"/>
        </w:rPr>
        <w:t xml:space="preserve">It has been suggested that </w:t>
      </w:r>
      <w:r>
        <w:rPr>
          <w:rStyle w:val="IvDbodytextChar"/>
          <w:i w:val="0"/>
          <w:color w:val="auto"/>
          <w:sz w:val="20"/>
          <w:szCs w:val="20"/>
        </w:rPr>
        <w:t xml:space="preserve">if LBT fails in </w:t>
      </w:r>
      <w:r w:rsidR="006743B0">
        <w:rPr>
          <w:rStyle w:val="IvDbodytextChar"/>
          <w:i w:val="0"/>
          <w:color w:val="auto"/>
          <w:sz w:val="20"/>
          <w:szCs w:val="20"/>
        </w:rPr>
        <w:t>one or more of 20 MHz channels within the BWP</w:t>
      </w:r>
      <w:r w:rsidR="00D61EFC">
        <w:rPr>
          <w:rStyle w:val="IvDbodytextChar"/>
          <w:i w:val="0"/>
          <w:color w:val="auto"/>
          <w:sz w:val="20"/>
          <w:szCs w:val="20"/>
        </w:rPr>
        <w:t xml:space="preserve">, full re-processing of the </w:t>
      </w:r>
      <w:r w:rsidR="006743B0">
        <w:rPr>
          <w:rStyle w:val="IvDbodytextChar"/>
          <w:i w:val="0"/>
          <w:color w:val="auto"/>
          <w:sz w:val="20"/>
          <w:szCs w:val="20"/>
        </w:rPr>
        <w:t>transport block</w:t>
      </w:r>
      <w:r w:rsidR="00D61EFC">
        <w:rPr>
          <w:rStyle w:val="IvDbodytextChar"/>
          <w:i w:val="0"/>
          <w:color w:val="auto"/>
          <w:sz w:val="20"/>
          <w:szCs w:val="20"/>
        </w:rPr>
        <w:t xml:space="preserve"> can be avoided by puncturing or rate-matching around the LBT sub-bands </w:t>
      </w:r>
      <w:r w:rsidR="00F5683F">
        <w:rPr>
          <w:rStyle w:val="IvDbodytextChar"/>
          <w:i w:val="0"/>
          <w:color w:val="auto"/>
          <w:sz w:val="20"/>
          <w:szCs w:val="20"/>
        </w:rPr>
        <w:t xml:space="preserve">(channels) </w:t>
      </w:r>
      <w:r w:rsidR="00D61EFC">
        <w:rPr>
          <w:rStyle w:val="IvDbodytextChar"/>
          <w:i w:val="0"/>
          <w:color w:val="auto"/>
          <w:sz w:val="20"/>
          <w:szCs w:val="20"/>
        </w:rPr>
        <w:t xml:space="preserve">that are unavailable due to CCA failure. In the former, the PDSCH REs are simply not transmitted in those LBT sub-bands, and the UE may set the soft values for the coded bits corresponding to those REs to zero prior to a decoding. In the latter, partial re-processing may be performed at the transmitting device, assuming </w:t>
      </w:r>
      <w:proofErr w:type="gramStart"/>
      <w:r w:rsidR="00D61EFC">
        <w:rPr>
          <w:rStyle w:val="IvDbodytextChar"/>
          <w:i w:val="0"/>
          <w:color w:val="auto"/>
          <w:sz w:val="20"/>
          <w:szCs w:val="20"/>
        </w:rPr>
        <w:t>sufficient</w:t>
      </w:r>
      <w:proofErr w:type="gramEnd"/>
      <w:r w:rsidR="00D61EFC">
        <w:rPr>
          <w:rStyle w:val="IvDbodytextChar"/>
          <w:i w:val="0"/>
          <w:color w:val="auto"/>
          <w:sz w:val="20"/>
          <w:szCs w:val="20"/>
        </w:rPr>
        <w:t xml:space="preserve"> processing capability. The partial re-processing is to re-encode the TB at a higher rate accounting for the unavailable </w:t>
      </w:r>
      <w:proofErr w:type="spellStart"/>
      <w:r w:rsidR="00D61EFC">
        <w:rPr>
          <w:rStyle w:val="IvDbodytextChar"/>
          <w:i w:val="0"/>
          <w:color w:val="auto"/>
          <w:sz w:val="20"/>
          <w:szCs w:val="20"/>
        </w:rPr>
        <w:t>REs.</w:t>
      </w:r>
      <w:proofErr w:type="spellEnd"/>
      <w:r w:rsidR="00D61EFC">
        <w:rPr>
          <w:rStyle w:val="IvDbodytextChar"/>
          <w:i w:val="0"/>
          <w:color w:val="auto"/>
          <w:sz w:val="20"/>
          <w:szCs w:val="20"/>
        </w:rPr>
        <w:t xml:space="preserve"> We emphasize that both approaches are undesirable and have a high likelihood of decoding failure thus requiring retransmissions. Clearly, this removes the claimed advantage of improved spectral efficiency</w:t>
      </w:r>
      <w:r w:rsidR="009D27D6">
        <w:rPr>
          <w:rStyle w:val="IvDbodytextChar"/>
          <w:i w:val="0"/>
          <w:color w:val="auto"/>
          <w:sz w:val="20"/>
          <w:szCs w:val="20"/>
        </w:rPr>
        <w:t xml:space="preserve"> compared to CA-based wideband operation.</w:t>
      </w:r>
    </w:p>
    <w:p w14:paraId="179C032A" w14:textId="4900C166" w:rsidR="004A128C" w:rsidRPr="009D27D6" w:rsidRDefault="00D61EFC" w:rsidP="000962B9">
      <w:pPr>
        <w:pStyle w:val="Observation"/>
        <w:ind w:left="1699" w:hanging="1699"/>
        <w:rPr>
          <w:spacing w:val="2"/>
          <w:lang w:val="en-US" w:eastAsia="en-US"/>
        </w:rPr>
      </w:pPr>
      <w:bookmarkStart w:id="7" w:name="_Toc1136495"/>
      <w:r w:rsidRPr="00E9453F">
        <w:rPr>
          <w:rStyle w:val="IvDbodytextChar"/>
        </w:rPr>
        <w:t xml:space="preserve">Puncturing/rate matching around LBT </w:t>
      </w:r>
      <w:r>
        <w:rPr>
          <w:rStyle w:val="IvDbodytextChar"/>
        </w:rPr>
        <w:t>sub-bands</w:t>
      </w:r>
      <w:r w:rsidRPr="00E9453F">
        <w:rPr>
          <w:rStyle w:val="IvDbodytextChar"/>
        </w:rPr>
        <w:t xml:space="preserve"> </w:t>
      </w:r>
      <w:r>
        <w:rPr>
          <w:rStyle w:val="IvDbodytextChar"/>
        </w:rPr>
        <w:t xml:space="preserve">where CCA fails </w:t>
      </w:r>
      <w:r w:rsidRPr="00E9453F">
        <w:rPr>
          <w:rStyle w:val="IvDbodytextChar"/>
        </w:rPr>
        <w:t xml:space="preserve">may cause </w:t>
      </w:r>
      <w:proofErr w:type="spellStart"/>
      <w:r w:rsidRPr="00E9453F">
        <w:rPr>
          <w:rStyle w:val="IvDbodytextChar"/>
        </w:rPr>
        <w:t>PxSCH</w:t>
      </w:r>
      <w:proofErr w:type="spellEnd"/>
      <w:r w:rsidRPr="00E9453F">
        <w:rPr>
          <w:rStyle w:val="IvDbodytextChar"/>
        </w:rPr>
        <w:t xml:space="preserve"> decoding failure</w:t>
      </w:r>
      <w:r w:rsidR="009D27D6">
        <w:rPr>
          <w:rStyle w:val="IvDbodytextChar"/>
        </w:rPr>
        <w:t>.</w:t>
      </w:r>
      <w:bookmarkEnd w:id="7"/>
    </w:p>
    <w:p w14:paraId="7D32FD06" w14:textId="7F6A00C2" w:rsidR="00C45A5C" w:rsidRDefault="00120464" w:rsidP="000962B9">
      <w:pPr>
        <w:pStyle w:val="BodyText"/>
      </w:pPr>
      <w:r>
        <w:t xml:space="preserve">Based on </w:t>
      </w:r>
      <w:r w:rsidR="009D27D6">
        <w:t>the above</w:t>
      </w:r>
      <w:r>
        <w:t xml:space="preserve"> argument</w:t>
      </w:r>
      <w:r w:rsidR="009D27D6">
        <w:t>s</w:t>
      </w:r>
      <w:r>
        <w:t>, our view is that support of channel puncturing is an optimization that can be considered in later releases</w:t>
      </w:r>
      <w:r w:rsidR="000B5FD0">
        <w:t xml:space="preserve"> of NR-U</w:t>
      </w:r>
      <w:r>
        <w:t xml:space="preserve">. Both RAN1 and RAN4 should </w:t>
      </w:r>
      <w:r w:rsidR="00D53768">
        <w:t>prioritize</w:t>
      </w:r>
      <w:r>
        <w:t xml:space="preserve"> </w:t>
      </w:r>
      <w:r w:rsidR="001375E5">
        <w:t>develop</w:t>
      </w:r>
      <w:r w:rsidR="00D53768">
        <w:t>ment of</w:t>
      </w:r>
      <w:r w:rsidR="001375E5">
        <w:t xml:space="preserve"> specifications for the case of no channel puncturing</w:t>
      </w:r>
      <w:r w:rsidR="000B5FD0">
        <w:t xml:space="preserve">. </w:t>
      </w:r>
      <w:r w:rsidR="008567BB">
        <w:t xml:space="preserve">This includes </w:t>
      </w:r>
      <w:r w:rsidR="00563D70">
        <w:t xml:space="preserve">wideband operation with aggregation of multiple 20 MHz carriers as well as </w:t>
      </w:r>
      <w:r w:rsidR="00E96B33">
        <w:t>wideband operation with one or more wideband (&gt; 20 MHz carriers) with transmission only on the whole BWP of each</w:t>
      </w:r>
      <w:r w:rsidR="008567BB">
        <w:t xml:space="preserve"> wideband carrier. W</w:t>
      </w:r>
      <w:r w:rsidR="00D62A2A">
        <w:t xml:space="preserve">ith these two modes, </w:t>
      </w:r>
      <w:r w:rsidR="007C198D">
        <w:t>t</w:t>
      </w:r>
      <w:r w:rsidR="000B5FD0">
        <w:t>his will cover both 20 MHz carriers in the 5 GHz band and potentially wider carriers in new bands.</w:t>
      </w:r>
    </w:p>
    <w:p w14:paraId="52781FEC" w14:textId="4A59833D" w:rsidR="00827EAF" w:rsidRDefault="00D62A2A" w:rsidP="0073461E">
      <w:pPr>
        <w:pStyle w:val="Proposal"/>
      </w:pPr>
      <w:bookmarkStart w:id="8" w:name="_Toc1137793"/>
      <w:r>
        <w:t xml:space="preserve">In both DL and UL, RAN1 and RAN4 </w:t>
      </w:r>
      <w:r w:rsidR="007C198D">
        <w:t xml:space="preserve">should prioritize </w:t>
      </w:r>
      <w:r>
        <w:t>develop</w:t>
      </w:r>
      <w:r w:rsidR="007C198D">
        <w:t>ment</w:t>
      </w:r>
      <w:r>
        <w:t xml:space="preserve"> </w:t>
      </w:r>
      <w:r w:rsidR="007C198D">
        <w:t xml:space="preserve">of </w:t>
      </w:r>
      <w:r>
        <w:t>specifications for wideband band operation based</w:t>
      </w:r>
      <w:r w:rsidR="00F57087">
        <w:t xml:space="preserve"> on </w:t>
      </w:r>
      <w:r>
        <w:t xml:space="preserve">(1) </w:t>
      </w:r>
      <w:r w:rsidR="002A4EC2">
        <w:t xml:space="preserve">aggregation of </w:t>
      </w:r>
      <w:r w:rsidR="00F57087">
        <w:t xml:space="preserve">multiple </w:t>
      </w:r>
      <w:r w:rsidR="007E01F9">
        <w:t xml:space="preserve">20 MHz serving cells, (2) </w:t>
      </w:r>
      <w:r w:rsidR="002A4EC2">
        <w:t>aggregation of one or more</w:t>
      </w:r>
      <w:r w:rsidR="007E01F9">
        <w:t xml:space="preserve"> </w:t>
      </w:r>
      <w:r w:rsidR="002A4EC2">
        <w:t xml:space="preserve">serving cells with bandwidth greater than </w:t>
      </w:r>
      <w:r w:rsidR="007E01F9">
        <w:t>20 MHz where transmission occurs only on the whole BWP</w:t>
      </w:r>
      <w:r w:rsidR="003B2CF7">
        <w:t xml:space="preserve"> of each carrier</w:t>
      </w:r>
      <w:r w:rsidR="007E01F9">
        <w:t>. Channel puncturing where transmission occurs on parts of a BWP is an optimization that can be considered in a later release.</w:t>
      </w:r>
      <w:bookmarkEnd w:id="8"/>
    </w:p>
    <w:p w14:paraId="269573C7" w14:textId="396A43A5" w:rsidR="00C01F33" w:rsidRPr="00CE0424" w:rsidRDefault="00194E3D" w:rsidP="00CE0424">
      <w:pPr>
        <w:pStyle w:val="Heading1"/>
      </w:pPr>
      <w:r>
        <w:t>3</w:t>
      </w:r>
      <w:r w:rsidR="00446710">
        <w:tab/>
      </w:r>
      <w:r w:rsidR="00C01F33" w:rsidRPr="00CE0424">
        <w:t>Conclusion</w:t>
      </w:r>
    </w:p>
    <w:p w14:paraId="4E87633F" w14:textId="6CE311B1" w:rsidR="008E065E" w:rsidRDefault="008E065E" w:rsidP="008E065E">
      <w:pPr>
        <w:pStyle w:val="BodyText"/>
        <w:rPr>
          <w:b/>
          <w:bCs/>
        </w:rPr>
      </w:pPr>
      <w:r>
        <w:t xml:space="preserve">In </w:t>
      </w:r>
      <w:r w:rsidR="00F75255">
        <w:t>this paper</w:t>
      </w:r>
      <w:r w:rsidRPr="00CE0424">
        <w:t xml:space="preserve"> we </w:t>
      </w:r>
      <w:r>
        <w:t>made the following observations</w:t>
      </w:r>
      <w:r w:rsidRPr="00CE0424">
        <w:t>:</w:t>
      </w:r>
      <w:r w:rsidR="00C93814">
        <w:rPr>
          <w:b/>
          <w:bCs/>
        </w:rPr>
        <w:t xml:space="preserve"> </w:t>
      </w:r>
    </w:p>
    <w:p w14:paraId="730407E5" w14:textId="23631BBF" w:rsidR="00953262"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1136495" w:history="1">
        <w:r w:rsidR="00953262" w:rsidRPr="00C2092D">
          <w:rPr>
            <w:rStyle w:val="Hyperlink"/>
            <w:noProof/>
            <w:spacing w:val="2"/>
            <w:lang w:val="en-US" w:eastAsia="en-US"/>
          </w:rPr>
          <w:t>Observation 1</w:t>
        </w:r>
        <w:r w:rsidR="00953262">
          <w:rPr>
            <w:rFonts w:asciiTheme="minorHAnsi" w:eastAsiaTheme="minorEastAsia" w:hAnsiTheme="minorHAnsi" w:cstheme="minorBidi"/>
            <w:b w:val="0"/>
            <w:noProof/>
            <w:sz w:val="22"/>
            <w:szCs w:val="22"/>
            <w:lang w:val="en-US" w:eastAsia="en-US"/>
          </w:rPr>
          <w:tab/>
        </w:r>
        <w:r w:rsidR="00953262" w:rsidRPr="00C2092D">
          <w:rPr>
            <w:rStyle w:val="Hyperlink"/>
            <w:noProof/>
            <w:spacing w:val="2"/>
            <w:lang w:val="en-US" w:eastAsia="en-US"/>
          </w:rPr>
          <w:t>Puncturing/rate matching around LBT sub-bands where CCA fails may cause PxSCH decoding failure.</w:t>
        </w:r>
      </w:hyperlink>
    </w:p>
    <w:p w14:paraId="6449A13A" w14:textId="176E06B5" w:rsidR="006E1C82" w:rsidRDefault="006F6582" w:rsidP="006E1C82">
      <w:pPr>
        <w:pStyle w:val="BodyText"/>
      </w:pPr>
      <w:r>
        <w:rPr>
          <w:b/>
          <w:bCs/>
        </w:rPr>
        <w:fldChar w:fldCharType="end"/>
      </w:r>
      <w:r w:rsidR="008E065E" w:rsidRPr="00CE0424">
        <w:t xml:space="preserve">Based on the discussion </w:t>
      </w:r>
      <w:r w:rsidR="00F75255">
        <w:t>in this paper</w:t>
      </w:r>
      <w:r w:rsidR="008E065E" w:rsidRPr="00CE0424">
        <w:t xml:space="preserve"> we propose the following:</w:t>
      </w:r>
    </w:p>
    <w:p w14:paraId="69A09218" w14:textId="4E3D0493" w:rsidR="0055647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37792" w:history="1">
        <w:r w:rsidR="0055647C" w:rsidRPr="003943BE">
          <w:rPr>
            <w:rStyle w:val="Hyperlink"/>
            <w:noProof/>
          </w:rPr>
          <w:t>Proposal 1</w:t>
        </w:r>
        <w:r w:rsidR="0055647C">
          <w:rPr>
            <w:rFonts w:asciiTheme="minorHAnsi" w:eastAsiaTheme="minorEastAsia" w:hAnsiTheme="minorHAnsi" w:cstheme="minorBidi"/>
            <w:b w:val="0"/>
            <w:noProof/>
            <w:sz w:val="22"/>
            <w:szCs w:val="22"/>
            <w:lang w:val="en-US" w:eastAsia="en-US"/>
          </w:rPr>
          <w:tab/>
        </w:r>
        <w:r w:rsidR="0055647C" w:rsidRPr="003943BE">
          <w:rPr>
            <w:rStyle w:val="Hyperlink"/>
            <w:noProof/>
          </w:rPr>
          <w:t>For wideband operation supported with multiple serving cells, support utilization of the guard bands between two or more contiguous CCs for PxSCH transmission and reception (x = D for downlink and = U for uplink).</w:t>
        </w:r>
      </w:hyperlink>
    </w:p>
    <w:p w14:paraId="50118061" w14:textId="1B237044" w:rsidR="0055647C" w:rsidRDefault="00EE0DC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37793" w:history="1">
        <w:r w:rsidR="0055647C" w:rsidRPr="003943BE">
          <w:rPr>
            <w:rStyle w:val="Hyperlink"/>
            <w:noProof/>
          </w:rPr>
          <w:t>Proposal 2</w:t>
        </w:r>
        <w:r w:rsidR="0055647C">
          <w:rPr>
            <w:rFonts w:asciiTheme="minorHAnsi" w:eastAsiaTheme="minorEastAsia" w:hAnsiTheme="minorHAnsi" w:cstheme="minorBidi"/>
            <w:b w:val="0"/>
            <w:noProof/>
            <w:sz w:val="22"/>
            <w:szCs w:val="22"/>
            <w:lang w:val="en-US" w:eastAsia="en-US"/>
          </w:rPr>
          <w:tab/>
        </w:r>
        <w:r w:rsidR="0055647C" w:rsidRPr="003943BE">
          <w:rPr>
            <w:rStyle w:val="Hyperlink"/>
            <w:noProof/>
          </w:rPr>
          <w:t>In both DL and UL, RAN1 and RAN4 should prioritize development of specifications for wideband band operation based on (1) aggregation of multiple 20 MHz serving cells, (2) aggregation of one or more serving cells with bandwidth greater than 20 MHz where transmission occurs only on the whole BWP of each carrier. Channel puncturing where transmission occurs on parts of a BWP is an optimization that can be considered in a later release.</w:t>
        </w:r>
      </w:hyperlink>
    </w:p>
    <w:p w14:paraId="29E5F4E6" w14:textId="37C70892" w:rsidR="00C01F33" w:rsidRPr="001F0FA7" w:rsidRDefault="006E1C82" w:rsidP="001F0FA7">
      <w:pPr>
        <w:pStyle w:val="BodyText"/>
        <w:rPr>
          <w:b/>
          <w:bCs/>
        </w:rPr>
      </w:pPr>
      <w:r>
        <w:rPr>
          <w:b/>
          <w:bCs/>
          <w:lang w:val="en-US"/>
        </w:rPr>
        <w:fldChar w:fldCharType="end"/>
      </w:r>
    </w:p>
    <w:p w14:paraId="75F0F757" w14:textId="77777777" w:rsidR="00F507D1" w:rsidRPr="00CE0424" w:rsidRDefault="00F507D1" w:rsidP="00CE0424">
      <w:pPr>
        <w:pStyle w:val="Heading1"/>
      </w:pPr>
      <w:bookmarkStart w:id="9" w:name="_In-sequence_SDU_delivery"/>
      <w:bookmarkEnd w:id="9"/>
      <w:r w:rsidRPr="00CE0424">
        <w:t>References</w:t>
      </w:r>
    </w:p>
    <w:p w14:paraId="0F5657BD" w14:textId="10EFFC73" w:rsidR="002A74D5" w:rsidRDefault="002A74D5" w:rsidP="002A74D5">
      <w:pPr>
        <w:pStyle w:val="Reference"/>
        <w:overflowPunct/>
        <w:autoSpaceDE/>
        <w:autoSpaceDN/>
        <w:adjustRightInd/>
        <w:spacing w:line="259" w:lineRule="auto"/>
        <w:textAlignment w:val="auto"/>
      </w:pPr>
      <w:bookmarkStart w:id="10" w:name="_Ref1131178"/>
      <w:bookmarkStart w:id="11" w:name="_Ref534127550"/>
      <w:bookmarkStart w:id="12" w:name="_Ref525732218"/>
      <w:bookmarkStart w:id="13" w:name="_Ref525647225"/>
      <w:r w:rsidRPr="00233E9C">
        <w:t>RP-182878, “New WID on NR-based Access to Unlicensed Spectrum,” Qualcomm, RAN#82, December 2018.</w:t>
      </w:r>
    </w:p>
    <w:p w14:paraId="61B4946D" w14:textId="6B232A79" w:rsidR="00953262" w:rsidRPr="00233E9C" w:rsidRDefault="00953262" w:rsidP="00953262">
      <w:pPr>
        <w:pStyle w:val="Reference"/>
        <w:overflowPunct/>
        <w:autoSpaceDE/>
        <w:autoSpaceDN/>
        <w:adjustRightInd/>
        <w:spacing w:line="259" w:lineRule="auto"/>
        <w:textAlignment w:val="auto"/>
      </w:pPr>
      <w:bookmarkStart w:id="14" w:name="_Ref534117348"/>
      <w:r w:rsidRPr="000B4707">
        <w:t>3GPP TR 38.889, “Study on NR-based access to unlicensed spectrum,” v16.0.0, December 2018.</w:t>
      </w:r>
      <w:bookmarkEnd w:id="14"/>
    </w:p>
    <w:p w14:paraId="474A1056" w14:textId="172786D1" w:rsidR="009758CB" w:rsidRDefault="009758CB" w:rsidP="000962B9">
      <w:pPr>
        <w:pStyle w:val="Reference"/>
        <w:overflowPunct/>
        <w:autoSpaceDE/>
        <w:autoSpaceDN/>
        <w:adjustRightInd/>
        <w:spacing w:line="259" w:lineRule="auto"/>
        <w:textAlignment w:val="auto"/>
      </w:pPr>
      <w:bookmarkStart w:id="15" w:name="_Ref1136318"/>
      <w:r>
        <w:rPr>
          <w:rFonts w:cs="Arial"/>
          <w:bCs/>
        </w:rPr>
        <w:t>R1-</w:t>
      </w:r>
      <w:r w:rsidR="000F19FC">
        <w:rPr>
          <w:rFonts w:cs="Arial"/>
          <w:bCs/>
        </w:rPr>
        <w:t>1901</w:t>
      </w:r>
      <w:r w:rsidR="009C19B4">
        <w:rPr>
          <w:rFonts w:cs="Arial"/>
          <w:bCs/>
        </w:rPr>
        <w:t>460, “</w:t>
      </w:r>
      <w:r w:rsidRPr="00291E8A">
        <w:rPr>
          <w:rFonts w:cs="Arial"/>
          <w:bCs/>
        </w:rPr>
        <w:t xml:space="preserve">Reply </w:t>
      </w:r>
      <w:r>
        <w:rPr>
          <w:rFonts w:cs="Arial"/>
          <w:bCs/>
        </w:rPr>
        <w:t xml:space="preserve">to reply </w:t>
      </w:r>
      <w:r w:rsidRPr="00291E8A">
        <w:rPr>
          <w:rFonts w:cs="Arial"/>
          <w:bCs/>
        </w:rPr>
        <w:t>LS on wideband carrier operation for NR-U</w:t>
      </w:r>
      <w:r w:rsidR="009C19B4">
        <w:rPr>
          <w:rFonts w:cs="Arial"/>
          <w:bCs/>
        </w:rPr>
        <w:t>,” RAN1, RAN1#AH1901, January 2019</w:t>
      </w:r>
      <w:bookmarkEnd w:id="10"/>
      <w:bookmarkEnd w:id="15"/>
    </w:p>
    <w:p w14:paraId="3266DE75" w14:textId="058B6A2D" w:rsidR="002A74D5" w:rsidRPr="00233E9C" w:rsidRDefault="00556711" w:rsidP="002A74D5">
      <w:pPr>
        <w:pStyle w:val="Reference"/>
      </w:pPr>
      <w:bookmarkStart w:id="16" w:name="_Ref525666947"/>
      <w:r w:rsidRPr="00233E9C">
        <w:t>R1-1812026, “</w:t>
      </w:r>
      <w:r w:rsidRPr="00233E9C">
        <w:rPr>
          <w:lang w:eastAsia="x-none"/>
        </w:rPr>
        <w:t>LS on wideband carrier operation for NR-U</w:t>
      </w:r>
      <w:r w:rsidRPr="00233E9C">
        <w:t>,” RAN1, RAN1#94b, October 2018.</w:t>
      </w:r>
      <w:bookmarkEnd w:id="16"/>
      <w:bookmarkEnd w:id="11"/>
      <w:bookmarkEnd w:id="12"/>
      <w:bookmarkEnd w:id="13"/>
    </w:p>
    <w:sectPr w:rsidR="002A74D5" w:rsidRPr="00233E9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4B4A1" w14:textId="77777777" w:rsidR="007506E3" w:rsidRDefault="007506E3">
      <w:r>
        <w:separator/>
      </w:r>
    </w:p>
  </w:endnote>
  <w:endnote w:type="continuationSeparator" w:id="0">
    <w:p w14:paraId="31756F18" w14:textId="77777777" w:rsidR="007506E3" w:rsidRDefault="007506E3">
      <w:r>
        <w:continuationSeparator/>
      </w:r>
    </w:p>
  </w:endnote>
  <w:endnote w:type="continuationNotice" w:id="1">
    <w:p w14:paraId="4A9FB962" w14:textId="77777777" w:rsidR="006E035B" w:rsidRDefault="006E0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3F490B" w:rsidRDefault="003F49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E06D8" w14:textId="77777777" w:rsidR="007506E3" w:rsidRDefault="007506E3">
      <w:r>
        <w:separator/>
      </w:r>
    </w:p>
  </w:footnote>
  <w:footnote w:type="continuationSeparator" w:id="0">
    <w:p w14:paraId="12E07E95" w14:textId="77777777" w:rsidR="007506E3" w:rsidRDefault="007506E3">
      <w:r>
        <w:continuationSeparator/>
      </w:r>
    </w:p>
  </w:footnote>
  <w:footnote w:type="continuationNotice" w:id="1">
    <w:p w14:paraId="14EE4C3E" w14:textId="77777777" w:rsidR="006E035B" w:rsidRDefault="006E03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3F490B" w:rsidRDefault="003F49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917022"/>
    <w:multiLevelType w:val="hybridMultilevel"/>
    <w:tmpl w:val="430CB8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266AE"/>
    <w:multiLevelType w:val="hybridMultilevel"/>
    <w:tmpl w:val="EE444CE6"/>
    <w:lvl w:ilvl="0" w:tplc="95AA0FF4">
      <w:start w:val="1"/>
      <w:numFmt w:val="bullet"/>
      <w:lvlText w:val="—"/>
      <w:lvlJc w:val="left"/>
      <w:pPr>
        <w:tabs>
          <w:tab w:val="num" w:pos="720"/>
        </w:tabs>
        <w:ind w:left="720" w:hanging="360"/>
      </w:pPr>
      <w:rPr>
        <w:rFonts w:ascii="Ericsson Hilda Light" w:hAnsi="Ericsson Hilda Light" w:hint="default"/>
      </w:rPr>
    </w:lvl>
    <w:lvl w:ilvl="1" w:tplc="854EA2D2">
      <w:start w:val="238"/>
      <w:numFmt w:val="bullet"/>
      <w:lvlText w:val="—"/>
      <w:lvlJc w:val="left"/>
      <w:pPr>
        <w:tabs>
          <w:tab w:val="num" w:pos="1440"/>
        </w:tabs>
        <w:ind w:left="1440" w:hanging="360"/>
      </w:pPr>
      <w:rPr>
        <w:rFonts w:ascii="Ericsson Hilda Light" w:hAnsi="Ericsson Hilda Light" w:hint="default"/>
      </w:rPr>
    </w:lvl>
    <w:lvl w:ilvl="2" w:tplc="DE586BDC">
      <w:start w:val="238"/>
      <w:numFmt w:val="bullet"/>
      <w:lvlText w:val="—"/>
      <w:lvlJc w:val="left"/>
      <w:pPr>
        <w:tabs>
          <w:tab w:val="num" w:pos="2160"/>
        </w:tabs>
        <w:ind w:left="2160" w:hanging="360"/>
      </w:pPr>
      <w:rPr>
        <w:rFonts w:ascii="Ericsson Hilda Light" w:hAnsi="Ericsson Hilda Light" w:hint="default"/>
      </w:rPr>
    </w:lvl>
    <w:lvl w:ilvl="3" w:tplc="37CCDDE0" w:tentative="1">
      <w:start w:val="1"/>
      <w:numFmt w:val="bullet"/>
      <w:lvlText w:val="—"/>
      <w:lvlJc w:val="left"/>
      <w:pPr>
        <w:tabs>
          <w:tab w:val="num" w:pos="2880"/>
        </w:tabs>
        <w:ind w:left="2880" w:hanging="360"/>
      </w:pPr>
      <w:rPr>
        <w:rFonts w:ascii="Ericsson Hilda Light" w:hAnsi="Ericsson Hilda Light" w:hint="default"/>
      </w:rPr>
    </w:lvl>
    <w:lvl w:ilvl="4" w:tplc="6BA8AAD2" w:tentative="1">
      <w:start w:val="1"/>
      <w:numFmt w:val="bullet"/>
      <w:lvlText w:val="—"/>
      <w:lvlJc w:val="left"/>
      <w:pPr>
        <w:tabs>
          <w:tab w:val="num" w:pos="3600"/>
        </w:tabs>
        <w:ind w:left="3600" w:hanging="360"/>
      </w:pPr>
      <w:rPr>
        <w:rFonts w:ascii="Ericsson Hilda Light" w:hAnsi="Ericsson Hilda Light" w:hint="default"/>
      </w:rPr>
    </w:lvl>
    <w:lvl w:ilvl="5" w:tplc="B6B82F54" w:tentative="1">
      <w:start w:val="1"/>
      <w:numFmt w:val="bullet"/>
      <w:lvlText w:val="—"/>
      <w:lvlJc w:val="left"/>
      <w:pPr>
        <w:tabs>
          <w:tab w:val="num" w:pos="4320"/>
        </w:tabs>
        <w:ind w:left="4320" w:hanging="360"/>
      </w:pPr>
      <w:rPr>
        <w:rFonts w:ascii="Ericsson Hilda Light" w:hAnsi="Ericsson Hilda Light" w:hint="default"/>
      </w:rPr>
    </w:lvl>
    <w:lvl w:ilvl="6" w:tplc="021E9498" w:tentative="1">
      <w:start w:val="1"/>
      <w:numFmt w:val="bullet"/>
      <w:lvlText w:val="—"/>
      <w:lvlJc w:val="left"/>
      <w:pPr>
        <w:tabs>
          <w:tab w:val="num" w:pos="5040"/>
        </w:tabs>
        <w:ind w:left="5040" w:hanging="360"/>
      </w:pPr>
      <w:rPr>
        <w:rFonts w:ascii="Ericsson Hilda Light" w:hAnsi="Ericsson Hilda Light" w:hint="default"/>
      </w:rPr>
    </w:lvl>
    <w:lvl w:ilvl="7" w:tplc="2C7A9DEC" w:tentative="1">
      <w:start w:val="1"/>
      <w:numFmt w:val="bullet"/>
      <w:lvlText w:val="—"/>
      <w:lvlJc w:val="left"/>
      <w:pPr>
        <w:tabs>
          <w:tab w:val="num" w:pos="5760"/>
        </w:tabs>
        <w:ind w:left="5760" w:hanging="360"/>
      </w:pPr>
      <w:rPr>
        <w:rFonts w:ascii="Ericsson Hilda Light" w:hAnsi="Ericsson Hilda Light" w:hint="default"/>
      </w:rPr>
    </w:lvl>
    <w:lvl w:ilvl="8" w:tplc="0E8C6DDC"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D20BB"/>
    <w:multiLevelType w:val="hybridMultilevel"/>
    <w:tmpl w:val="A07A1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5178B"/>
    <w:multiLevelType w:val="hybridMultilevel"/>
    <w:tmpl w:val="C538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47389652"/>
    <w:lvl w:ilvl="0" w:tplc="5DFAA5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353E95"/>
    <w:multiLevelType w:val="hybridMultilevel"/>
    <w:tmpl w:val="39806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4621A18"/>
    <w:multiLevelType w:val="hybridMultilevel"/>
    <w:tmpl w:val="9594C4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A282B"/>
    <w:multiLevelType w:val="hybridMultilevel"/>
    <w:tmpl w:val="F61AFEC4"/>
    <w:lvl w:ilvl="0" w:tplc="A0A8B3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409A6"/>
    <w:multiLevelType w:val="hybridMultilevel"/>
    <w:tmpl w:val="CEBA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3"/>
  </w:num>
  <w:num w:numId="2">
    <w:abstractNumId w:val="14"/>
  </w:num>
  <w:num w:numId="3">
    <w:abstractNumId w:val="0"/>
  </w:num>
  <w:num w:numId="4">
    <w:abstractNumId w:val="24"/>
  </w:num>
  <w:num w:numId="5">
    <w:abstractNumId w:val="25"/>
  </w:num>
  <w:num w:numId="6">
    <w:abstractNumId w:val="26"/>
  </w:num>
  <w:num w:numId="7">
    <w:abstractNumId w:val="8"/>
  </w:num>
  <w:num w:numId="8">
    <w:abstractNumId w:val="12"/>
  </w:num>
  <w:num w:numId="9">
    <w:abstractNumId w:val="5"/>
  </w:num>
  <w:num w:numId="10">
    <w:abstractNumId w:val="33"/>
  </w:num>
  <w:num w:numId="11">
    <w:abstractNumId w:val="13"/>
  </w:num>
  <w:num w:numId="12">
    <w:abstractNumId w:val="31"/>
  </w:num>
  <w:num w:numId="13">
    <w:abstractNumId w:val="18"/>
  </w:num>
  <w:num w:numId="14">
    <w:abstractNumId w:val="21"/>
  </w:num>
  <w:num w:numId="15">
    <w:abstractNumId w:val="20"/>
  </w:num>
  <w:num w:numId="16">
    <w:abstractNumId w:val="30"/>
  </w:num>
  <w:num w:numId="17">
    <w:abstractNumId w:val="6"/>
  </w:num>
  <w:num w:numId="18">
    <w:abstractNumId w:val="32"/>
  </w:num>
  <w:num w:numId="19">
    <w:abstractNumId w:val="3"/>
  </w:num>
  <w:num w:numId="20">
    <w:abstractNumId w:val="11"/>
  </w:num>
  <w:num w:numId="21">
    <w:abstractNumId w:val="16"/>
  </w:num>
  <w:num w:numId="22">
    <w:abstractNumId w:val="27"/>
  </w:num>
  <w:num w:numId="23">
    <w:abstractNumId w:val="29"/>
  </w:num>
  <w:num w:numId="24">
    <w:abstractNumId w:val="2"/>
  </w:num>
  <w:num w:numId="25">
    <w:abstractNumId w:val="19"/>
  </w:num>
  <w:num w:numId="26">
    <w:abstractNumId w:val="7"/>
  </w:num>
  <w:num w:numId="27">
    <w:abstractNumId w:val="1"/>
  </w:num>
  <w:num w:numId="28">
    <w:abstractNumId w:val="15"/>
  </w:num>
  <w:num w:numId="29">
    <w:abstractNumId w:val="4"/>
  </w:num>
  <w:num w:numId="30">
    <w:abstractNumId w:val="28"/>
  </w:num>
  <w:num w:numId="31">
    <w:abstractNumId w:val="17"/>
  </w:num>
  <w:num w:numId="32">
    <w:abstractNumId w:val="10"/>
  </w:num>
  <w:num w:numId="33">
    <w:abstractNumId w:val="22"/>
  </w:num>
  <w:num w:numId="34">
    <w:abstractNumId w:val="9"/>
  </w:num>
  <w:num w:numId="3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564C"/>
    <w:rsid w:val="00006446"/>
    <w:rsid w:val="00006896"/>
    <w:rsid w:val="00007CDC"/>
    <w:rsid w:val="00010ABF"/>
    <w:rsid w:val="00011B28"/>
    <w:rsid w:val="00014218"/>
    <w:rsid w:val="00015D15"/>
    <w:rsid w:val="000204C9"/>
    <w:rsid w:val="00023280"/>
    <w:rsid w:val="00023C28"/>
    <w:rsid w:val="0002564D"/>
    <w:rsid w:val="00025ECA"/>
    <w:rsid w:val="000325B8"/>
    <w:rsid w:val="00033FEE"/>
    <w:rsid w:val="00034C15"/>
    <w:rsid w:val="00035BC4"/>
    <w:rsid w:val="000360D0"/>
    <w:rsid w:val="00036BA1"/>
    <w:rsid w:val="000422E2"/>
    <w:rsid w:val="00042F22"/>
    <w:rsid w:val="000444EF"/>
    <w:rsid w:val="0004455C"/>
    <w:rsid w:val="00052A07"/>
    <w:rsid w:val="000534E3"/>
    <w:rsid w:val="0005606A"/>
    <w:rsid w:val="00057117"/>
    <w:rsid w:val="000616E7"/>
    <w:rsid w:val="0006321A"/>
    <w:rsid w:val="00063A58"/>
    <w:rsid w:val="00063CFC"/>
    <w:rsid w:val="0006487E"/>
    <w:rsid w:val="00065E1A"/>
    <w:rsid w:val="00070042"/>
    <w:rsid w:val="00071498"/>
    <w:rsid w:val="00074309"/>
    <w:rsid w:val="000751B6"/>
    <w:rsid w:val="00075E48"/>
    <w:rsid w:val="00077E5F"/>
    <w:rsid w:val="0008036A"/>
    <w:rsid w:val="00081AE6"/>
    <w:rsid w:val="000830F9"/>
    <w:rsid w:val="000855EB"/>
    <w:rsid w:val="00085B52"/>
    <w:rsid w:val="000866F2"/>
    <w:rsid w:val="0009009F"/>
    <w:rsid w:val="00090844"/>
    <w:rsid w:val="00091557"/>
    <w:rsid w:val="000924C1"/>
    <w:rsid w:val="000924F0"/>
    <w:rsid w:val="00093474"/>
    <w:rsid w:val="0009510F"/>
    <w:rsid w:val="000962B9"/>
    <w:rsid w:val="000A1264"/>
    <w:rsid w:val="000A1B7B"/>
    <w:rsid w:val="000A3FD3"/>
    <w:rsid w:val="000A406D"/>
    <w:rsid w:val="000A514D"/>
    <w:rsid w:val="000A51A4"/>
    <w:rsid w:val="000A56F2"/>
    <w:rsid w:val="000A6E76"/>
    <w:rsid w:val="000B2719"/>
    <w:rsid w:val="000B3A8F"/>
    <w:rsid w:val="000B4AB9"/>
    <w:rsid w:val="000B58C3"/>
    <w:rsid w:val="000B5FD0"/>
    <w:rsid w:val="000B61E9"/>
    <w:rsid w:val="000C165A"/>
    <w:rsid w:val="000C1DA7"/>
    <w:rsid w:val="000C2E19"/>
    <w:rsid w:val="000C4668"/>
    <w:rsid w:val="000D0A6E"/>
    <w:rsid w:val="000D0D07"/>
    <w:rsid w:val="000D4797"/>
    <w:rsid w:val="000D773D"/>
    <w:rsid w:val="000E0527"/>
    <w:rsid w:val="000E1E92"/>
    <w:rsid w:val="000E49B6"/>
    <w:rsid w:val="000F06D6"/>
    <w:rsid w:val="000F0EB1"/>
    <w:rsid w:val="000F1106"/>
    <w:rsid w:val="000F19FC"/>
    <w:rsid w:val="000F2FA5"/>
    <w:rsid w:val="000F3BE9"/>
    <w:rsid w:val="000F3F6C"/>
    <w:rsid w:val="000F6DF3"/>
    <w:rsid w:val="000F7251"/>
    <w:rsid w:val="001005FF"/>
    <w:rsid w:val="001023EF"/>
    <w:rsid w:val="00104BB1"/>
    <w:rsid w:val="00104DC8"/>
    <w:rsid w:val="001062FB"/>
    <w:rsid w:val="001063E6"/>
    <w:rsid w:val="00113CF4"/>
    <w:rsid w:val="001153EA"/>
    <w:rsid w:val="00115643"/>
    <w:rsid w:val="00116765"/>
    <w:rsid w:val="00120464"/>
    <w:rsid w:val="001219F5"/>
    <w:rsid w:val="00121A20"/>
    <w:rsid w:val="0012377F"/>
    <w:rsid w:val="00124314"/>
    <w:rsid w:val="0012696F"/>
    <w:rsid w:val="00126B4A"/>
    <w:rsid w:val="00131B51"/>
    <w:rsid w:val="00132FD0"/>
    <w:rsid w:val="001344C0"/>
    <w:rsid w:val="001346FA"/>
    <w:rsid w:val="00135252"/>
    <w:rsid w:val="001375E5"/>
    <w:rsid w:val="00137AB5"/>
    <w:rsid w:val="00137F0B"/>
    <w:rsid w:val="00151E23"/>
    <w:rsid w:val="001526E0"/>
    <w:rsid w:val="001551B5"/>
    <w:rsid w:val="00163401"/>
    <w:rsid w:val="001659C1"/>
    <w:rsid w:val="00170FF5"/>
    <w:rsid w:val="00172FDA"/>
    <w:rsid w:val="00173A8E"/>
    <w:rsid w:val="00173FE0"/>
    <w:rsid w:val="001747B9"/>
    <w:rsid w:val="0017502C"/>
    <w:rsid w:val="00180A6A"/>
    <w:rsid w:val="0018143F"/>
    <w:rsid w:val="00181AC7"/>
    <w:rsid w:val="00181FF8"/>
    <w:rsid w:val="001821BD"/>
    <w:rsid w:val="00186E12"/>
    <w:rsid w:val="00190AC1"/>
    <w:rsid w:val="0019341A"/>
    <w:rsid w:val="00194E3D"/>
    <w:rsid w:val="00195C4B"/>
    <w:rsid w:val="001960A1"/>
    <w:rsid w:val="0019625E"/>
    <w:rsid w:val="00197DF9"/>
    <w:rsid w:val="001A11F9"/>
    <w:rsid w:val="001A1987"/>
    <w:rsid w:val="001A1EE8"/>
    <w:rsid w:val="001A2564"/>
    <w:rsid w:val="001A42EA"/>
    <w:rsid w:val="001A47A8"/>
    <w:rsid w:val="001A6173"/>
    <w:rsid w:val="001A6CBA"/>
    <w:rsid w:val="001B0387"/>
    <w:rsid w:val="001B07CA"/>
    <w:rsid w:val="001B0D97"/>
    <w:rsid w:val="001B5A5D"/>
    <w:rsid w:val="001C0AA9"/>
    <w:rsid w:val="001C1CE5"/>
    <w:rsid w:val="001C37F1"/>
    <w:rsid w:val="001C3D2A"/>
    <w:rsid w:val="001C737F"/>
    <w:rsid w:val="001C7CFA"/>
    <w:rsid w:val="001D47A9"/>
    <w:rsid w:val="001D51BA"/>
    <w:rsid w:val="001D53E7"/>
    <w:rsid w:val="001D6342"/>
    <w:rsid w:val="001D6D53"/>
    <w:rsid w:val="001E2838"/>
    <w:rsid w:val="001E4200"/>
    <w:rsid w:val="001E58E2"/>
    <w:rsid w:val="001E7AED"/>
    <w:rsid w:val="001F0FA7"/>
    <w:rsid w:val="001F1F89"/>
    <w:rsid w:val="001F3916"/>
    <w:rsid w:val="001F54C5"/>
    <w:rsid w:val="001F574E"/>
    <w:rsid w:val="001F6429"/>
    <w:rsid w:val="001F662C"/>
    <w:rsid w:val="001F7074"/>
    <w:rsid w:val="001F7FB1"/>
    <w:rsid w:val="00200490"/>
    <w:rsid w:val="00201F3A"/>
    <w:rsid w:val="00203F96"/>
    <w:rsid w:val="0020666F"/>
    <w:rsid w:val="002069B2"/>
    <w:rsid w:val="00207FA3"/>
    <w:rsid w:val="002133A3"/>
    <w:rsid w:val="00213C15"/>
    <w:rsid w:val="00214023"/>
    <w:rsid w:val="00214DA8"/>
    <w:rsid w:val="00215423"/>
    <w:rsid w:val="002158FA"/>
    <w:rsid w:val="0021716B"/>
    <w:rsid w:val="00220600"/>
    <w:rsid w:val="00221C73"/>
    <w:rsid w:val="002224DB"/>
    <w:rsid w:val="00223D99"/>
    <w:rsid w:val="00223FCB"/>
    <w:rsid w:val="002249A0"/>
    <w:rsid w:val="002252C3"/>
    <w:rsid w:val="002258CC"/>
    <w:rsid w:val="00225C54"/>
    <w:rsid w:val="00230765"/>
    <w:rsid w:val="00230D18"/>
    <w:rsid w:val="002319E4"/>
    <w:rsid w:val="00232FAF"/>
    <w:rsid w:val="00233E9C"/>
    <w:rsid w:val="00235632"/>
    <w:rsid w:val="00235872"/>
    <w:rsid w:val="00241559"/>
    <w:rsid w:val="002435B3"/>
    <w:rsid w:val="00243E7D"/>
    <w:rsid w:val="002458EB"/>
    <w:rsid w:val="002500C8"/>
    <w:rsid w:val="002521E3"/>
    <w:rsid w:val="00257543"/>
    <w:rsid w:val="00257EC4"/>
    <w:rsid w:val="002604B8"/>
    <w:rsid w:val="002617E7"/>
    <w:rsid w:val="00262210"/>
    <w:rsid w:val="00262B6C"/>
    <w:rsid w:val="00263A7D"/>
    <w:rsid w:val="00264228"/>
    <w:rsid w:val="00264334"/>
    <w:rsid w:val="0026473E"/>
    <w:rsid w:val="00266214"/>
    <w:rsid w:val="00267794"/>
    <w:rsid w:val="00267C83"/>
    <w:rsid w:val="00267E63"/>
    <w:rsid w:val="0027144F"/>
    <w:rsid w:val="00271813"/>
    <w:rsid w:val="00271F3A"/>
    <w:rsid w:val="00272093"/>
    <w:rsid w:val="00273278"/>
    <w:rsid w:val="002737F4"/>
    <w:rsid w:val="002747D4"/>
    <w:rsid w:val="0027491E"/>
    <w:rsid w:val="002805F5"/>
    <w:rsid w:val="00280751"/>
    <w:rsid w:val="00281A53"/>
    <w:rsid w:val="0028280A"/>
    <w:rsid w:val="00286ACD"/>
    <w:rsid w:val="00287838"/>
    <w:rsid w:val="002878F6"/>
    <w:rsid w:val="00287FE4"/>
    <w:rsid w:val="002905FB"/>
    <w:rsid w:val="002907B5"/>
    <w:rsid w:val="00291A32"/>
    <w:rsid w:val="00291B3A"/>
    <w:rsid w:val="00292EB7"/>
    <w:rsid w:val="00295378"/>
    <w:rsid w:val="00296227"/>
    <w:rsid w:val="00296F44"/>
    <w:rsid w:val="002971B2"/>
    <w:rsid w:val="0029777D"/>
    <w:rsid w:val="002A055E"/>
    <w:rsid w:val="002A1507"/>
    <w:rsid w:val="002A1D4E"/>
    <w:rsid w:val="002A2869"/>
    <w:rsid w:val="002A4EC2"/>
    <w:rsid w:val="002A74D5"/>
    <w:rsid w:val="002B24D6"/>
    <w:rsid w:val="002B46C3"/>
    <w:rsid w:val="002C41E6"/>
    <w:rsid w:val="002C644B"/>
    <w:rsid w:val="002D071A"/>
    <w:rsid w:val="002D34B2"/>
    <w:rsid w:val="002D48B0"/>
    <w:rsid w:val="002D5B37"/>
    <w:rsid w:val="002D7637"/>
    <w:rsid w:val="002E111C"/>
    <w:rsid w:val="002E17F2"/>
    <w:rsid w:val="002E18B7"/>
    <w:rsid w:val="002E2BD2"/>
    <w:rsid w:val="002E4632"/>
    <w:rsid w:val="002E7CAE"/>
    <w:rsid w:val="002F2771"/>
    <w:rsid w:val="002F37A9"/>
    <w:rsid w:val="002F4C29"/>
    <w:rsid w:val="002F65F4"/>
    <w:rsid w:val="003017C9"/>
    <w:rsid w:val="00301CE6"/>
    <w:rsid w:val="0030256B"/>
    <w:rsid w:val="0030501F"/>
    <w:rsid w:val="00307BA1"/>
    <w:rsid w:val="00311702"/>
    <w:rsid w:val="00311E82"/>
    <w:rsid w:val="00312FD9"/>
    <w:rsid w:val="00313A13"/>
    <w:rsid w:val="00313FD6"/>
    <w:rsid w:val="003143BD"/>
    <w:rsid w:val="00314C73"/>
    <w:rsid w:val="00315363"/>
    <w:rsid w:val="003203ED"/>
    <w:rsid w:val="00322C9F"/>
    <w:rsid w:val="00323B65"/>
    <w:rsid w:val="00324D23"/>
    <w:rsid w:val="00326529"/>
    <w:rsid w:val="00331751"/>
    <w:rsid w:val="003318FB"/>
    <w:rsid w:val="00333690"/>
    <w:rsid w:val="00334579"/>
    <w:rsid w:val="00335858"/>
    <w:rsid w:val="003358D9"/>
    <w:rsid w:val="00336BDA"/>
    <w:rsid w:val="003379F4"/>
    <w:rsid w:val="003400F9"/>
    <w:rsid w:val="0034108E"/>
    <w:rsid w:val="003417B9"/>
    <w:rsid w:val="00341F16"/>
    <w:rsid w:val="00342BD7"/>
    <w:rsid w:val="00345AE8"/>
    <w:rsid w:val="00346DB5"/>
    <w:rsid w:val="003477B1"/>
    <w:rsid w:val="003505BA"/>
    <w:rsid w:val="00351902"/>
    <w:rsid w:val="00353C6D"/>
    <w:rsid w:val="00357380"/>
    <w:rsid w:val="003602D9"/>
    <w:rsid w:val="003604CE"/>
    <w:rsid w:val="00367B68"/>
    <w:rsid w:val="00370E47"/>
    <w:rsid w:val="00372996"/>
    <w:rsid w:val="003742AC"/>
    <w:rsid w:val="00377CE1"/>
    <w:rsid w:val="003815B5"/>
    <w:rsid w:val="00384667"/>
    <w:rsid w:val="00385BF0"/>
    <w:rsid w:val="0039158D"/>
    <w:rsid w:val="003939FF"/>
    <w:rsid w:val="003A2223"/>
    <w:rsid w:val="003A2A0F"/>
    <w:rsid w:val="003A4425"/>
    <w:rsid w:val="003A45A1"/>
    <w:rsid w:val="003A4D0B"/>
    <w:rsid w:val="003A5B0A"/>
    <w:rsid w:val="003A5FBE"/>
    <w:rsid w:val="003A6BAC"/>
    <w:rsid w:val="003A6E90"/>
    <w:rsid w:val="003A70A4"/>
    <w:rsid w:val="003A7EF3"/>
    <w:rsid w:val="003B0D43"/>
    <w:rsid w:val="003B159C"/>
    <w:rsid w:val="003B2CF7"/>
    <w:rsid w:val="003B369F"/>
    <w:rsid w:val="003B36A3"/>
    <w:rsid w:val="003B37D3"/>
    <w:rsid w:val="003B4630"/>
    <w:rsid w:val="003B4DD8"/>
    <w:rsid w:val="003B64BB"/>
    <w:rsid w:val="003B721B"/>
    <w:rsid w:val="003B7FE5"/>
    <w:rsid w:val="003C11C8"/>
    <w:rsid w:val="003C19B9"/>
    <w:rsid w:val="003C2702"/>
    <w:rsid w:val="003C3726"/>
    <w:rsid w:val="003C4F93"/>
    <w:rsid w:val="003C7806"/>
    <w:rsid w:val="003D109F"/>
    <w:rsid w:val="003D2478"/>
    <w:rsid w:val="003D2D90"/>
    <w:rsid w:val="003D3C45"/>
    <w:rsid w:val="003D5B1F"/>
    <w:rsid w:val="003E15FA"/>
    <w:rsid w:val="003E3610"/>
    <w:rsid w:val="003E55E4"/>
    <w:rsid w:val="003E5A5C"/>
    <w:rsid w:val="003E74E3"/>
    <w:rsid w:val="003F05C7"/>
    <w:rsid w:val="003F2CD4"/>
    <w:rsid w:val="003F490B"/>
    <w:rsid w:val="003F6BBE"/>
    <w:rsid w:val="004000E8"/>
    <w:rsid w:val="004003FF"/>
    <w:rsid w:val="00402E2B"/>
    <w:rsid w:val="0040512B"/>
    <w:rsid w:val="00405CA5"/>
    <w:rsid w:val="00407CD3"/>
    <w:rsid w:val="00410134"/>
    <w:rsid w:val="00410B72"/>
    <w:rsid w:val="00410F18"/>
    <w:rsid w:val="00411B2A"/>
    <w:rsid w:val="0041263E"/>
    <w:rsid w:val="00413AAC"/>
    <w:rsid w:val="00413E92"/>
    <w:rsid w:val="00417A70"/>
    <w:rsid w:val="00421105"/>
    <w:rsid w:val="0042122C"/>
    <w:rsid w:val="00421245"/>
    <w:rsid w:val="0042196D"/>
    <w:rsid w:val="00422AA4"/>
    <w:rsid w:val="004242F4"/>
    <w:rsid w:val="00425DD1"/>
    <w:rsid w:val="00426C39"/>
    <w:rsid w:val="00427248"/>
    <w:rsid w:val="00430D8F"/>
    <w:rsid w:val="00437447"/>
    <w:rsid w:val="00441019"/>
    <w:rsid w:val="00441A92"/>
    <w:rsid w:val="004431DC"/>
    <w:rsid w:val="00444F56"/>
    <w:rsid w:val="004460FB"/>
    <w:rsid w:val="00446488"/>
    <w:rsid w:val="00446710"/>
    <w:rsid w:val="004517AA"/>
    <w:rsid w:val="00452CAC"/>
    <w:rsid w:val="00456A68"/>
    <w:rsid w:val="00457565"/>
    <w:rsid w:val="00457B71"/>
    <w:rsid w:val="00462285"/>
    <w:rsid w:val="00462880"/>
    <w:rsid w:val="004643EF"/>
    <w:rsid w:val="00465C4A"/>
    <w:rsid w:val="004669E2"/>
    <w:rsid w:val="00466DA3"/>
    <w:rsid w:val="00470C31"/>
    <w:rsid w:val="004714B6"/>
    <w:rsid w:val="00471DE0"/>
    <w:rsid w:val="004729F8"/>
    <w:rsid w:val="004734D0"/>
    <w:rsid w:val="0047556B"/>
    <w:rsid w:val="00476AF8"/>
    <w:rsid w:val="00477768"/>
    <w:rsid w:val="004843BD"/>
    <w:rsid w:val="00486E94"/>
    <w:rsid w:val="004918DC"/>
    <w:rsid w:val="00492BC5"/>
    <w:rsid w:val="00495F25"/>
    <w:rsid w:val="004964F1"/>
    <w:rsid w:val="00497CCB"/>
    <w:rsid w:val="004A128C"/>
    <w:rsid w:val="004A16BC"/>
    <w:rsid w:val="004A2B94"/>
    <w:rsid w:val="004A2BED"/>
    <w:rsid w:val="004A55E5"/>
    <w:rsid w:val="004A7240"/>
    <w:rsid w:val="004B2A69"/>
    <w:rsid w:val="004B6F6A"/>
    <w:rsid w:val="004B7C0C"/>
    <w:rsid w:val="004C3898"/>
    <w:rsid w:val="004C53EF"/>
    <w:rsid w:val="004C61D8"/>
    <w:rsid w:val="004C6B66"/>
    <w:rsid w:val="004D36B1"/>
    <w:rsid w:val="004D7EBD"/>
    <w:rsid w:val="004E2680"/>
    <w:rsid w:val="004E28F9"/>
    <w:rsid w:val="004E3838"/>
    <w:rsid w:val="004E462E"/>
    <w:rsid w:val="004E52A9"/>
    <w:rsid w:val="004E56DC"/>
    <w:rsid w:val="004E572B"/>
    <w:rsid w:val="004E76F4"/>
    <w:rsid w:val="004F0B4E"/>
    <w:rsid w:val="004F0B6C"/>
    <w:rsid w:val="004F140F"/>
    <w:rsid w:val="004F2078"/>
    <w:rsid w:val="004F4DA3"/>
    <w:rsid w:val="00501C1D"/>
    <w:rsid w:val="00506557"/>
    <w:rsid w:val="0050677A"/>
    <w:rsid w:val="005108D8"/>
    <w:rsid w:val="005116F9"/>
    <w:rsid w:val="005153A7"/>
    <w:rsid w:val="00521341"/>
    <w:rsid w:val="005219CF"/>
    <w:rsid w:val="00534B59"/>
    <w:rsid w:val="00536759"/>
    <w:rsid w:val="00537058"/>
    <w:rsid w:val="00537C62"/>
    <w:rsid w:val="00546970"/>
    <w:rsid w:val="0054717B"/>
    <w:rsid w:val="0055087F"/>
    <w:rsid w:val="0055129A"/>
    <w:rsid w:val="005530DD"/>
    <w:rsid w:val="00554E19"/>
    <w:rsid w:val="0055647C"/>
    <w:rsid w:val="00556711"/>
    <w:rsid w:val="00557DFB"/>
    <w:rsid w:val="0056121F"/>
    <w:rsid w:val="005633D6"/>
    <w:rsid w:val="00563D70"/>
    <w:rsid w:val="00570782"/>
    <w:rsid w:val="00572505"/>
    <w:rsid w:val="00577757"/>
    <w:rsid w:val="005802B4"/>
    <w:rsid w:val="00582809"/>
    <w:rsid w:val="0058332D"/>
    <w:rsid w:val="005867DE"/>
    <w:rsid w:val="0058798C"/>
    <w:rsid w:val="005900FA"/>
    <w:rsid w:val="0059049B"/>
    <w:rsid w:val="005935A4"/>
    <w:rsid w:val="00594780"/>
    <w:rsid w:val="005948C2"/>
    <w:rsid w:val="00595DCA"/>
    <w:rsid w:val="0059729E"/>
    <w:rsid w:val="0059779B"/>
    <w:rsid w:val="005A1DE5"/>
    <w:rsid w:val="005A209A"/>
    <w:rsid w:val="005A662D"/>
    <w:rsid w:val="005B1409"/>
    <w:rsid w:val="005B1CAE"/>
    <w:rsid w:val="005B35D7"/>
    <w:rsid w:val="005B392A"/>
    <w:rsid w:val="005B3AA3"/>
    <w:rsid w:val="005B5465"/>
    <w:rsid w:val="005B6058"/>
    <w:rsid w:val="005B6F83"/>
    <w:rsid w:val="005C0132"/>
    <w:rsid w:val="005C0AE6"/>
    <w:rsid w:val="005C4545"/>
    <w:rsid w:val="005C74FB"/>
    <w:rsid w:val="005D1602"/>
    <w:rsid w:val="005E076B"/>
    <w:rsid w:val="005E385F"/>
    <w:rsid w:val="005E59F7"/>
    <w:rsid w:val="005E5B81"/>
    <w:rsid w:val="005F2550"/>
    <w:rsid w:val="005F2CB1"/>
    <w:rsid w:val="005F3025"/>
    <w:rsid w:val="005F618C"/>
    <w:rsid w:val="005F70BD"/>
    <w:rsid w:val="005F746C"/>
    <w:rsid w:val="0060283C"/>
    <w:rsid w:val="00604F14"/>
    <w:rsid w:val="00605146"/>
    <w:rsid w:val="00611B83"/>
    <w:rsid w:val="00613257"/>
    <w:rsid w:val="00614E66"/>
    <w:rsid w:val="00616AD6"/>
    <w:rsid w:val="00620A71"/>
    <w:rsid w:val="00620D80"/>
    <w:rsid w:val="00622EEA"/>
    <w:rsid w:val="00622FF2"/>
    <w:rsid w:val="006234A6"/>
    <w:rsid w:val="00630001"/>
    <w:rsid w:val="006311B3"/>
    <w:rsid w:val="0063244A"/>
    <w:rsid w:val="0063284C"/>
    <w:rsid w:val="00635DF2"/>
    <w:rsid w:val="00636398"/>
    <w:rsid w:val="006368D3"/>
    <w:rsid w:val="006377EC"/>
    <w:rsid w:val="0064151F"/>
    <w:rsid w:val="00641533"/>
    <w:rsid w:val="006416FE"/>
    <w:rsid w:val="0064208D"/>
    <w:rsid w:val="00643475"/>
    <w:rsid w:val="0064396A"/>
    <w:rsid w:val="00643DDE"/>
    <w:rsid w:val="00645671"/>
    <w:rsid w:val="0064569D"/>
    <w:rsid w:val="0064622C"/>
    <w:rsid w:val="0064624E"/>
    <w:rsid w:val="006469B3"/>
    <w:rsid w:val="00650AB9"/>
    <w:rsid w:val="006523C0"/>
    <w:rsid w:val="00655733"/>
    <w:rsid w:val="00655ACD"/>
    <w:rsid w:val="006569D0"/>
    <w:rsid w:val="00656A92"/>
    <w:rsid w:val="00656DDE"/>
    <w:rsid w:val="0066011D"/>
    <w:rsid w:val="006607C0"/>
    <w:rsid w:val="006613A6"/>
    <w:rsid w:val="006627A2"/>
    <w:rsid w:val="006634E6"/>
    <w:rsid w:val="00664C1A"/>
    <w:rsid w:val="00664E50"/>
    <w:rsid w:val="006655EE"/>
    <w:rsid w:val="00665E53"/>
    <w:rsid w:val="00666BE8"/>
    <w:rsid w:val="00667041"/>
    <w:rsid w:val="00667EE7"/>
    <w:rsid w:val="00670922"/>
    <w:rsid w:val="00670BE1"/>
    <w:rsid w:val="00671EDD"/>
    <w:rsid w:val="0067218F"/>
    <w:rsid w:val="006741F2"/>
    <w:rsid w:val="006743B0"/>
    <w:rsid w:val="00674CC3"/>
    <w:rsid w:val="00675C72"/>
    <w:rsid w:val="006771F9"/>
    <w:rsid w:val="006776D7"/>
    <w:rsid w:val="00681003"/>
    <w:rsid w:val="006817C9"/>
    <w:rsid w:val="00683ECE"/>
    <w:rsid w:val="006846A7"/>
    <w:rsid w:val="00690F28"/>
    <w:rsid w:val="00695FC2"/>
    <w:rsid w:val="00696949"/>
    <w:rsid w:val="00696EF7"/>
    <w:rsid w:val="00697052"/>
    <w:rsid w:val="006A18CE"/>
    <w:rsid w:val="006A203B"/>
    <w:rsid w:val="006A299B"/>
    <w:rsid w:val="006A46FB"/>
    <w:rsid w:val="006A5E28"/>
    <w:rsid w:val="006A697B"/>
    <w:rsid w:val="006A6D00"/>
    <w:rsid w:val="006A7AFF"/>
    <w:rsid w:val="006B1816"/>
    <w:rsid w:val="006B2099"/>
    <w:rsid w:val="006B5002"/>
    <w:rsid w:val="006B50CF"/>
    <w:rsid w:val="006B5901"/>
    <w:rsid w:val="006C03B8"/>
    <w:rsid w:val="006C1DE4"/>
    <w:rsid w:val="006C44DA"/>
    <w:rsid w:val="006C4D06"/>
    <w:rsid w:val="006C4F1B"/>
    <w:rsid w:val="006C5EC9"/>
    <w:rsid w:val="006C6059"/>
    <w:rsid w:val="006C7522"/>
    <w:rsid w:val="006D647D"/>
    <w:rsid w:val="006D6E7D"/>
    <w:rsid w:val="006D6F08"/>
    <w:rsid w:val="006E035B"/>
    <w:rsid w:val="006E062C"/>
    <w:rsid w:val="006E0684"/>
    <w:rsid w:val="006E1C82"/>
    <w:rsid w:val="006E28B7"/>
    <w:rsid w:val="006E2A9B"/>
    <w:rsid w:val="006E3310"/>
    <w:rsid w:val="006E4E39"/>
    <w:rsid w:val="006E565E"/>
    <w:rsid w:val="006E673D"/>
    <w:rsid w:val="006E7D3B"/>
    <w:rsid w:val="006F1B70"/>
    <w:rsid w:val="006F1C0E"/>
    <w:rsid w:val="006F341D"/>
    <w:rsid w:val="006F3CDE"/>
    <w:rsid w:val="006F58D4"/>
    <w:rsid w:val="006F6582"/>
    <w:rsid w:val="006F74D5"/>
    <w:rsid w:val="0070346E"/>
    <w:rsid w:val="00704754"/>
    <w:rsid w:val="00704EDB"/>
    <w:rsid w:val="00706101"/>
    <w:rsid w:val="00707072"/>
    <w:rsid w:val="00707D61"/>
    <w:rsid w:val="00707DBC"/>
    <w:rsid w:val="00712287"/>
    <w:rsid w:val="00712772"/>
    <w:rsid w:val="00713F46"/>
    <w:rsid w:val="007142F5"/>
    <w:rsid w:val="007148D3"/>
    <w:rsid w:val="007152F3"/>
    <w:rsid w:val="00715B9A"/>
    <w:rsid w:val="00716800"/>
    <w:rsid w:val="007216AE"/>
    <w:rsid w:val="00724DD3"/>
    <w:rsid w:val="007257D0"/>
    <w:rsid w:val="00726EA6"/>
    <w:rsid w:val="00727208"/>
    <w:rsid w:val="00727680"/>
    <w:rsid w:val="007348B1"/>
    <w:rsid w:val="007362A6"/>
    <w:rsid w:val="00736D7D"/>
    <w:rsid w:val="00740E58"/>
    <w:rsid w:val="00741C00"/>
    <w:rsid w:val="007445A0"/>
    <w:rsid w:val="0074524B"/>
    <w:rsid w:val="00747D8B"/>
    <w:rsid w:val="007506E3"/>
    <w:rsid w:val="00751228"/>
    <w:rsid w:val="0075182F"/>
    <w:rsid w:val="00756010"/>
    <w:rsid w:val="007571E1"/>
    <w:rsid w:val="007576E0"/>
    <w:rsid w:val="007604B2"/>
    <w:rsid w:val="0076084D"/>
    <w:rsid w:val="00765281"/>
    <w:rsid w:val="00765ADB"/>
    <w:rsid w:val="00766BAD"/>
    <w:rsid w:val="007729A2"/>
    <w:rsid w:val="00774B35"/>
    <w:rsid w:val="007755F2"/>
    <w:rsid w:val="00776971"/>
    <w:rsid w:val="007778D3"/>
    <w:rsid w:val="00780A80"/>
    <w:rsid w:val="0078177E"/>
    <w:rsid w:val="0078304C"/>
    <w:rsid w:val="00783673"/>
    <w:rsid w:val="00784F07"/>
    <w:rsid w:val="00785490"/>
    <w:rsid w:val="007925EA"/>
    <w:rsid w:val="0079375B"/>
    <w:rsid w:val="00793CD8"/>
    <w:rsid w:val="00793F37"/>
    <w:rsid w:val="00795C92"/>
    <w:rsid w:val="00796231"/>
    <w:rsid w:val="007A1CB3"/>
    <w:rsid w:val="007A2F5F"/>
    <w:rsid w:val="007A306F"/>
    <w:rsid w:val="007A3F5E"/>
    <w:rsid w:val="007A43A6"/>
    <w:rsid w:val="007A441F"/>
    <w:rsid w:val="007A483A"/>
    <w:rsid w:val="007A58A6"/>
    <w:rsid w:val="007A6C58"/>
    <w:rsid w:val="007A71B5"/>
    <w:rsid w:val="007A7A3F"/>
    <w:rsid w:val="007B3D2D"/>
    <w:rsid w:val="007B50AE"/>
    <w:rsid w:val="007B51DF"/>
    <w:rsid w:val="007C05DD"/>
    <w:rsid w:val="007C198D"/>
    <w:rsid w:val="007C37C1"/>
    <w:rsid w:val="007C3D18"/>
    <w:rsid w:val="007C5AAD"/>
    <w:rsid w:val="007C60BF"/>
    <w:rsid w:val="007C6A07"/>
    <w:rsid w:val="007C75A1"/>
    <w:rsid w:val="007C77A5"/>
    <w:rsid w:val="007D04E5"/>
    <w:rsid w:val="007D23AD"/>
    <w:rsid w:val="007D35C0"/>
    <w:rsid w:val="007D3B7A"/>
    <w:rsid w:val="007D4358"/>
    <w:rsid w:val="007D4A34"/>
    <w:rsid w:val="007D5505"/>
    <w:rsid w:val="007D5901"/>
    <w:rsid w:val="007D7526"/>
    <w:rsid w:val="007E01F9"/>
    <w:rsid w:val="007E4610"/>
    <w:rsid w:val="007E4715"/>
    <w:rsid w:val="007E4A58"/>
    <w:rsid w:val="007E505B"/>
    <w:rsid w:val="007E7091"/>
    <w:rsid w:val="007E73E6"/>
    <w:rsid w:val="007F0CD7"/>
    <w:rsid w:val="007F421A"/>
    <w:rsid w:val="007F4B69"/>
    <w:rsid w:val="007F6B58"/>
    <w:rsid w:val="007F6FFA"/>
    <w:rsid w:val="007F7AD6"/>
    <w:rsid w:val="00801E75"/>
    <w:rsid w:val="0080323E"/>
    <w:rsid w:val="00803FAE"/>
    <w:rsid w:val="0080605F"/>
    <w:rsid w:val="00807786"/>
    <w:rsid w:val="00811FCB"/>
    <w:rsid w:val="008158D6"/>
    <w:rsid w:val="00815A9D"/>
    <w:rsid w:val="00817041"/>
    <w:rsid w:val="00817196"/>
    <w:rsid w:val="008172AE"/>
    <w:rsid w:val="008208EF"/>
    <w:rsid w:val="008235DB"/>
    <w:rsid w:val="00824AB4"/>
    <w:rsid w:val="00825C42"/>
    <w:rsid w:val="00825D25"/>
    <w:rsid w:val="00827D6F"/>
    <w:rsid w:val="00827EAF"/>
    <w:rsid w:val="008327BF"/>
    <w:rsid w:val="00835488"/>
    <w:rsid w:val="008376AC"/>
    <w:rsid w:val="00841F3E"/>
    <w:rsid w:val="008444E8"/>
    <w:rsid w:val="00844E80"/>
    <w:rsid w:val="008455CB"/>
    <w:rsid w:val="00846520"/>
    <w:rsid w:val="00846FE7"/>
    <w:rsid w:val="00850D16"/>
    <w:rsid w:val="008567BB"/>
    <w:rsid w:val="00856911"/>
    <w:rsid w:val="00862290"/>
    <w:rsid w:val="00863A07"/>
    <w:rsid w:val="008640D0"/>
    <w:rsid w:val="0086686F"/>
    <w:rsid w:val="008677FD"/>
    <w:rsid w:val="00867A03"/>
    <w:rsid w:val="008706D4"/>
    <w:rsid w:val="00870F8A"/>
    <w:rsid w:val="008719A4"/>
    <w:rsid w:val="00871D23"/>
    <w:rsid w:val="008738A4"/>
    <w:rsid w:val="00874312"/>
    <w:rsid w:val="0087437C"/>
    <w:rsid w:val="00874FF9"/>
    <w:rsid w:val="00875CD7"/>
    <w:rsid w:val="00876B4D"/>
    <w:rsid w:val="00877F18"/>
    <w:rsid w:val="00880ACE"/>
    <w:rsid w:val="00882EF2"/>
    <w:rsid w:val="00887EDE"/>
    <w:rsid w:val="00890B40"/>
    <w:rsid w:val="00891D52"/>
    <w:rsid w:val="00892A12"/>
    <w:rsid w:val="008941E3"/>
    <w:rsid w:val="00894A88"/>
    <w:rsid w:val="00895386"/>
    <w:rsid w:val="008961F9"/>
    <w:rsid w:val="008A1DAD"/>
    <w:rsid w:val="008A1EE3"/>
    <w:rsid w:val="008A21FF"/>
    <w:rsid w:val="008A2CE2"/>
    <w:rsid w:val="008A30AC"/>
    <w:rsid w:val="008A30F9"/>
    <w:rsid w:val="008A44B8"/>
    <w:rsid w:val="008A51A8"/>
    <w:rsid w:val="008A54C7"/>
    <w:rsid w:val="008A6BFA"/>
    <w:rsid w:val="008A77D8"/>
    <w:rsid w:val="008B0483"/>
    <w:rsid w:val="008B120C"/>
    <w:rsid w:val="008B1530"/>
    <w:rsid w:val="008B3652"/>
    <w:rsid w:val="008B45D1"/>
    <w:rsid w:val="008B51A0"/>
    <w:rsid w:val="008B592A"/>
    <w:rsid w:val="008B7B5C"/>
    <w:rsid w:val="008C000F"/>
    <w:rsid w:val="008C0C99"/>
    <w:rsid w:val="008C1800"/>
    <w:rsid w:val="008C2017"/>
    <w:rsid w:val="008C4958"/>
    <w:rsid w:val="008C4BAA"/>
    <w:rsid w:val="008C6AE8"/>
    <w:rsid w:val="008C7573"/>
    <w:rsid w:val="008D00A5"/>
    <w:rsid w:val="008D34F1"/>
    <w:rsid w:val="008D39D8"/>
    <w:rsid w:val="008D6D1A"/>
    <w:rsid w:val="008D7C00"/>
    <w:rsid w:val="008E065E"/>
    <w:rsid w:val="008E0927"/>
    <w:rsid w:val="008E1909"/>
    <w:rsid w:val="008E28FA"/>
    <w:rsid w:val="008E42B4"/>
    <w:rsid w:val="008E7BA1"/>
    <w:rsid w:val="008F1C4E"/>
    <w:rsid w:val="008F1EAB"/>
    <w:rsid w:val="008F2233"/>
    <w:rsid w:val="008F33DC"/>
    <w:rsid w:val="008F477F"/>
    <w:rsid w:val="008F4977"/>
    <w:rsid w:val="00900B1F"/>
    <w:rsid w:val="00902350"/>
    <w:rsid w:val="0090336B"/>
    <w:rsid w:val="009041D9"/>
    <w:rsid w:val="009053AA"/>
    <w:rsid w:val="00906939"/>
    <w:rsid w:val="00910B7D"/>
    <w:rsid w:val="00911DFB"/>
    <w:rsid w:val="009139D9"/>
    <w:rsid w:val="00914AD8"/>
    <w:rsid w:val="00914D2A"/>
    <w:rsid w:val="00916079"/>
    <w:rsid w:val="00917CE9"/>
    <w:rsid w:val="00920BF2"/>
    <w:rsid w:val="00922010"/>
    <w:rsid w:val="00925088"/>
    <w:rsid w:val="00930F86"/>
    <w:rsid w:val="009317FA"/>
    <w:rsid w:val="00931BD9"/>
    <w:rsid w:val="009341DA"/>
    <w:rsid w:val="009368F3"/>
    <w:rsid w:val="00941636"/>
    <w:rsid w:val="00943742"/>
    <w:rsid w:val="00944B32"/>
    <w:rsid w:val="00945C05"/>
    <w:rsid w:val="00946945"/>
    <w:rsid w:val="00947713"/>
    <w:rsid w:val="00950522"/>
    <w:rsid w:val="00950C88"/>
    <w:rsid w:val="00950DE7"/>
    <w:rsid w:val="00951CDE"/>
    <w:rsid w:val="00952274"/>
    <w:rsid w:val="00953262"/>
    <w:rsid w:val="00953920"/>
    <w:rsid w:val="00953D47"/>
    <w:rsid w:val="0095681E"/>
    <w:rsid w:val="00956E5D"/>
    <w:rsid w:val="009572D4"/>
    <w:rsid w:val="00961921"/>
    <w:rsid w:val="0096430A"/>
    <w:rsid w:val="0096554B"/>
    <w:rsid w:val="0096584A"/>
    <w:rsid w:val="00970CD7"/>
    <w:rsid w:val="00971F08"/>
    <w:rsid w:val="009758CB"/>
    <w:rsid w:val="0097603D"/>
    <w:rsid w:val="00976949"/>
    <w:rsid w:val="00980477"/>
    <w:rsid w:val="00980504"/>
    <w:rsid w:val="00982EC3"/>
    <w:rsid w:val="00985253"/>
    <w:rsid w:val="009852A3"/>
    <w:rsid w:val="009853B3"/>
    <w:rsid w:val="00985F47"/>
    <w:rsid w:val="0098626F"/>
    <w:rsid w:val="00990630"/>
    <w:rsid w:val="009912EB"/>
    <w:rsid w:val="00991761"/>
    <w:rsid w:val="009918D4"/>
    <w:rsid w:val="00994DCA"/>
    <w:rsid w:val="009960EC"/>
    <w:rsid w:val="009970DD"/>
    <w:rsid w:val="00997EFB"/>
    <w:rsid w:val="009A0FBA"/>
    <w:rsid w:val="009A1601"/>
    <w:rsid w:val="009A3BB6"/>
    <w:rsid w:val="009A3E1A"/>
    <w:rsid w:val="009A462D"/>
    <w:rsid w:val="009A5806"/>
    <w:rsid w:val="009A5CBA"/>
    <w:rsid w:val="009A6866"/>
    <w:rsid w:val="009B0D0E"/>
    <w:rsid w:val="009B1F30"/>
    <w:rsid w:val="009B2DC6"/>
    <w:rsid w:val="009B3AC2"/>
    <w:rsid w:val="009B4DF4"/>
    <w:rsid w:val="009B564E"/>
    <w:rsid w:val="009B7E87"/>
    <w:rsid w:val="009C0169"/>
    <w:rsid w:val="009C19B4"/>
    <w:rsid w:val="009C403E"/>
    <w:rsid w:val="009C4596"/>
    <w:rsid w:val="009C45FD"/>
    <w:rsid w:val="009D1941"/>
    <w:rsid w:val="009D27D6"/>
    <w:rsid w:val="009D4FF0"/>
    <w:rsid w:val="009D6FDB"/>
    <w:rsid w:val="009D703C"/>
    <w:rsid w:val="009D718F"/>
    <w:rsid w:val="009E068F"/>
    <w:rsid w:val="009E0E36"/>
    <w:rsid w:val="009E11E1"/>
    <w:rsid w:val="009E14E0"/>
    <w:rsid w:val="009E35DB"/>
    <w:rsid w:val="009E47A3"/>
    <w:rsid w:val="009E47DF"/>
    <w:rsid w:val="009E650C"/>
    <w:rsid w:val="009F08F3"/>
    <w:rsid w:val="009F0D27"/>
    <w:rsid w:val="009F20A1"/>
    <w:rsid w:val="009F2EC7"/>
    <w:rsid w:val="009F344F"/>
    <w:rsid w:val="009F3EB0"/>
    <w:rsid w:val="009F570D"/>
    <w:rsid w:val="00A029A9"/>
    <w:rsid w:val="00A031D8"/>
    <w:rsid w:val="00A048A8"/>
    <w:rsid w:val="00A04F49"/>
    <w:rsid w:val="00A138EC"/>
    <w:rsid w:val="00A13E54"/>
    <w:rsid w:val="00A1509C"/>
    <w:rsid w:val="00A15C2B"/>
    <w:rsid w:val="00A17F63"/>
    <w:rsid w:val="00A2193B"/>
    <w:rsid w:val="00A21CAA"/>
    <w:rsid w:val="00A2351A"/>
    <w:rsid w:val="00A25DC9"/>
    <w:rsid w:val="00A264A9"/>
    <w:rsid w:val="00A267D7"/>
    <w:rsid w:val="00A26DCF"/>
    <w:rsid w:val="00A27785"/>
    <w:rsid w:val="00A30187"/>
    <w:rsid w:val="00A31151"/>
    <w:rsid w:val="00A3448A"/>
    <w:rsid w:val="00A36297"/>
    <w:rsid w:val="00A3745D"/>
    <w:rsid w:val="00A4053F"/>
    <w:rsid w:val="00A41E2B"/>
    <w:rsid w:val="00A45B74"/>
    <w:rsid w:val="00A52127"/>
    <w:rsid w:val="00A52E1D"/>
    <w:rsid w:val="00A55DB1"/>
    <w:rsid w:val="00A61499"/>
    <w:rsid w:val="00A6228C"/>
    <w:rsid w:val="00A62A77"/>
    <w:rsid w:val="00A63483"/>
    <w:rsid w:val="00A64B5A"/>
    <w:rsid w:val="00A657D7"/>
    <w:rsid w:val="00A660AC"/>
    <w:rsid w:val="00A67E6C"/>
    <w:rsid w:val="00A71B99"/>
    <w:rsid w:val="00A72C1F"/>
    <w:rsid w:val="00A739D0"/>
    <w:rsid w:val="00A761D4"/>
    <w:rsid w:val="00A7737D"/>
    <w:rsid w:val="00A77EC4"/>
    <w:rsid w:val="00A812CC"/>
    <w:rsid w:val="00A81CC6"/>
    <w:rsid w:val="00A85960"/>
    <w:rsid w:val="00A86A06"/>
    <w:rsid w:val="00A92879"/>
    <w:rsid w:val="00A92B42"/>
    <w:rsid w:val="00A9442A"/>
    <w:rsid w:val="00A95035"/>
    <w:rsid w:val="00A961B7"/>
    <w:rsid w:val="00A96DD3"/>
    <w:rsid w:val="00A979D6"/>
    <w:rsid w:val="00AA016F"/>
    <w:rsid w:val="00AA14DA"/>
    <w:rsid w:val="00AA1ED6"/>
    <w:rsid w:val="00AA51D6"/>
    <w:rsid w:val="00AB0BC8"/>
    <w:rsid w:val="00AB11CA"/>
    <w:rsid w:val="00AB14D9"/>
    <w:rsid w:val="00AB4AB8"/>
    <w:rsid w:val="00AB655E"/>
    <w:rsid w:val="00AB6E3E"/>
    <w:rsid w:val="00AC007F"/>
    <w:rsid w:val="00AC1431"/>
    <w:rsid w:val="00AC2ECD"/>
    <w:rsid w:val="00AC3119"/>
    <w:rsid w:val="00AC49FB"/>
    <w:rsid w:val="00AC5A10"/>
    <w:rsid w:val="00AC66F3"/>
    <w:rsid w:val="00AD001C"/>
    <w:rsid w:val="00AD0AA3"/>
    <w:rsid w:val="00AD25AF"/>
    <w:rsid w:val="00AD2AD0"/>
    <w:rsid w:val="00AD2ED0"/>
    <w:rsid w:val="00AD3F94"/>
    <w:rsid w:val="00AD45A2"/>
    <w:rsid w:val="00AD4A5A"/>
    <w:rsid w:val="00AD4E2E"/>
    <w:rsid w:val="00AE27AC"/>
    <w:rsid w:val="00AE3371"/>
    <w:rsid w:val="00AE40E0"/>
    <w:rsid w:val="00AE4DBA"/>
    <w:rsid w:val="00AE4F07"/>
    <w:rsid w:val="00AF0D3D"/>
    <w:rsid w:val="00AF142D"/>
    <w:rsid w:val="00AF1C5D"/>
    <w:rsid w:val="00AF1DCE"/>
    <w:rsid w:val="00AF42D7"/>
    <w:rsid w:val="00AF5372"/>
    <w:rsid w:val="00B006FE"/>
    <w:rsid w:val="00B007CB"/>
    <w:rsid w:val="00B023A1"/>
    <w:rsid w:val="00B02AA9"/>
    <w:rsid w:val="00B02FA3"/>
    <w:rsid w:val="00B048E3"/>
    <w:rsid w:val="00B05084"/>
    <w:rsid w:val="00B06002"/>
    <w:rsid w:val="00B157F9"/>
    <w:rsid w:val="00B20256"/>
    <w:rsid w:val="00B20599"/>
    <w:rsid w:val="00B2071A"/>
    <w:rsid w:val="00B20D09"/>
    <w:rsid w:val="00B22567"/>
    <w:rsid w:val="00B22C41"/>
    <w:rsid w:val="00B24A71"/>
    <w:rsid w:val="00B26F9A"/>
    <w:rsid w:val="00B2763F"/>
    <w:rsid w:val="00B278F6"/>
    <w:rsid w:val="00B27AAC"/>
    <w:rsid w:val="00B301DA"/>
    <w:rsid w:val="00B30929"/>
    <w:rsid w:val="00B372AA"/>
    <w:rsid w:val="00B40445"/>
    <w:rsid w:val="00B409E0"/>
    <w:rsid w:val="00B415E1"/>
    <w:rsid w:val="00B41888"/>
    <w:rsid w:val="00B45A52"/>
    <w:rsid w:val="00B46175"/>
    <w:rsid w:val="00B46724"/>
    <w:rsid w:val="00B47883"/>
    <w:rsid w:val="00B5393E"/>
    <w:rsid w:val="00B53F46"/>
    <w:rsid w:val="00B548B7"/>
    <w:rsid w:val="00B61870"/>
    <w:rsid w:val="00B63395"/>
    <w:rsid w:val="00B664C7"/>
    <w:rsid w:val="00B70F4A"/>
    <w:rsid w:val="00B72553"/>
    <w:rsid w:val="00B739F6"/>
    <w:rsid w:val="00B73AC1"/>
    <w:rsid w:val="00B769D2"/>
    <w:rsid w:val="00B80D2A"/>
    <w:rsid w:val="00B81A6C"/>
    <w:rsid w:val="00B83975"/>
    <w:rsid w:val="00B85DE5"/>
    <w:rsid w:val="00B90F73"/>
    <w:rsid w:val="00B91680"/>
    <w:rsid w:val="00B92426"/>
    <w:rsid w:val="00B93B59"/>
    <w:rsid w:val="00B9406A"/>
    <w:rsid w:val="00B949E1"/>
    <w:rsid w:val="00B94B0D"/>
    <w:rsid w:val="00B9715C"/>
    <w:rsid w:val="00BA1C8F"/>
    <w:rsid w:val="00BA2280"/>
    <w:rsid w:val="00BA2A08"/>
    <w:rsid w:val="00BA56D2"/>
    <w:rsid w:val="00BA69DD"/>
    <w:rsid w:val="00BA7172"/>
    <w:rsid w:val="00BA76E0"/>
    <w:rsid w:val="00BB15D9"/>
    <w:rsid w:val="00BB2087"/>
    <w:rsid w:val="00BB2A25"/>
    <w:rsid w:val="00BB51E9"/>
    <w:rsid w:val="00BC0FDC"/>
    <w:rsid w:val="00BC3053"/>
    <w:rsid w:val="00BC4D2E"/>
    <w:rsid w:val="00BD48AC"/>
    <w:rsid w:val="00BD5F1A"/>
    <w:rsid w:val="00BE1234"/>
    <w:rsid w:val="00BE2FA6"/>
    <w:rsid w:val="00BE333F"/>
    <w:rsid w:val="00BE4832"/>
    <w:rsid w:val="00BE7406"/>
    <w:rsid w:val="00BE7603"/>
    <w:rsid w:val="00BF3279"/>
    <w:rsid w:val="00BF74C7"/>
    <w:rsid w:val="00C015F1"/>
    <w:rsid w:val="00C01F33"/>
    <w:rsid w:val="00C02555"/>
    <w:rsid w:val="00C02CC6"/>
    <w:rsid w:val="00C03EC6"/>
    <w:rsid w:val="00C040F7"/>
    <w:rsid w:val="00C044AB"/>
    <w:rsid w:val="00C05706"/>
    <w:rsid w:val="00C07377"/>
    <w:rsid w:val="00C10478"/>
    <w:rsid w:val="00C12107"/>
    <w:rsid w:val="00C14D4B"/>
    <w:rsid w:val="00C154BB"/>
    <w:rsid w:val="00C156BE"/>
    <w:rsid w:val="00C25290"/>
    <w:rsid w:val="00C27789"/>
    <w:rsid w:val="00C279B5"/>
    <w:rsid w:val="00C27C45"/>
    <w:rsid w:val="00C336B6"/>
    <w:rsid w:val="00C3719D"/>
    <w:rsid w:val="00C37B4D"/>
    <w:rsid w:val="00C37CB2"/>
    <w:rsid w:val="00C404DE"/>
    <w:rsid w:val="00C41423"/>
    <w:rsid w:val="00C4427C"/>
    <w:rsid w:val="00C45A5C"/>
    <w:rsid w:val="00C45A96"/>
    <w:rsid w:val="00C470FC"/>
    <w:rsid w:val="00C473A5"/>
    <w:rsid w:val="00C5054E"/>
    <w:rsid w:val="00C54995"/>
    <w:rsid w:val="00C54D41"/>
    <w:rsid w:val="00C55A2A"/>
    <w:rsid w:val="00C60783"/>
    <w:rsid w:val="00C62702"/>
    <w:rsid w:val="00C64672"/>
    <w:rsid w:val="00C66E70"/>
    <w:rsid w:val="00C70697"/>
    <w:rsid w:val="00C70EEC"/>
    <w:rsid w:val="00C714F2"/>
    <w:rsid w:val="00C71C25"/>
    <w:rsid w:val="00C72076"/>
    <w:rsid w:val="00C72093"/>
    <w:rsid w:val="00C72EF4"/>
    <w:rsid w:val="00C744FE"/>
    <w:rsid w:val="00C75D2F"/>
    <w:rsid w:val="00C767BE"/>
    <w:rsid w:val="00C76E3C"/>
    <w:rsid w:val="00C77B01"/>
    <w:rsid w:val="00C81568"/>
    <w:rsid w:val="00C9027A"/>
    <w:rsid w:val="00C9068E"/>
    <w:rsid w:val="00C935A0"/>
    <w:rsid w:val="00C93814"/>
    <w:rsid w:val="00C93C4B"/>
    <w:rsid w:val="00C944AB"/>
    <w:rsid w:val="00C95B40"/>
    <w:rsid w:val="00C96141"/>
    <w:rsid w:val="00CA0538"/>
    <w:rsid w:val="00CA1ED8"/>
    <w:rsid w:val="00CA2DED"/>
    <w:rsid w:val="00CA4E6E"/>
    <w:rsid w:val="00CA570A"/>
    <w:rsid w:val="00CB1F63"/>
    <w:rsid w:val="00CB5B49"/>
    <w:rsid w:val="00CB7170"/>
    <w:rsid w:val="00CC040E"/>
    <w:rsid w:val="00CC111F"/>
    <w:rsid w:val="00CC2011"/>
    <w:rsid w:val="00CC3EA0"/>
    <w:rsid w:val="00CC7B45"/>
    <w:rsid w:val="00CD1188"/>
    <w:rsid w:val="00CD183E"/>
    <w:rsid w:val="00CD2ED1"/>
    <w:rsid w:val="00CD337B"/>
    <w:rsid w:val="00CD7139"/>
    <w:rsid w:val="00CE0424"/>
    <w:rsid w:val="00CE1325"/>
    <w:rsid w:val="00CE3BD9"/>
    <w:rsid w:val="00CE7561"/>
    <w:rsid w:val="00CF1354"/>
    <w:rsid w:val="00CF1F77"/>
    <w:rsid w:val="00CF3B1F"/>
    <w:rsid w:val="00CF3BF6"/>
    <w:rsid w:val="00CF625B"/>
    <w:rsid w:val="00CF687E"/>
    <w:rsid w:val="00D02B0C"/>
    <w:rsid w:val="00D032CB"/>
    <w:rsid w:val="00D0349B"/>
    <w:rsid w:val="00D10249"/>
    <w:rsid w:val="00D115C3"/>
    <w:rsid w:val="00D11897"/>
    <w:rsid w:val="00D13135"/>
    <w:rsid w:val="00D13E4E"/>
    <w:rsid w:val="00D16FAA"/>
    <w:rsid w:val="00D21FBC"/>
    <w:rsid w:val="00D239A7"/>
    <w:rsid w:val="00D23F47"/>
    <w:rsid w:val="00D25792"/>
    <w:rsid w:val="00D27714"/>
    <w:rsid w:val="00D35E96"/>
    <w:rsid w:val="00D36E71"/>
    <w:rsid w:val="00D37D87"/>
    <w:rsid w:val="00D40B33"/>
    <w:rsid w:val="00D4280E"/>
    <w:rsid w:val="00D4318F"/>
    <w:rsid w:val="00D438BF"/>
    <w:rsid w:val="00D440F8"/>
    <w:rsid w:val="00D53768"/>
    <w:rsid w:val="00D546FF"/>
    <w:rsid w:val="00D55AD5"/>
    <w:rsid w:val="00D57647"/>
    <w:rsid w:val="00D576CA"/>
    <w:rsid w:val="00D5773C"/>
    <w:rsid w:val="00D61AF5"/>
    <w:rsid w:val="00D61EFC"/>
    <w:rsid w:val="00D62A2A"/>
    <w:rsid w:val="00D64359"/>
    <w:rsid w:val="00D652B5"/>
    <w:rsid w:val="00D66155"/>
    <w:rsid w:val="00D708B0"/>
    <w:rsid w:val="00D74B19"/>
    <w:rsid w:val="00D763B1"/>
    <w:rsid w:val="00D77B1D"/>
    <w:rsid w:val="00D8021F"/>
    <w:rsid w:val="00D80383"/>
    <w:rsid w:val="00D809D2"/>
    <w:rsid w:val="00D823C6"/>
    <w:rsid w:val="00D829E9"/>
    <w:rsid w:val="00D830AC"/>
    <w:rsid w:val="00D8327F"/>
    <w:rsid w:val="00D85F4C"/>
    <w:rsid w:val="00D86CA3"/>
    <w:rsid w:val="00D87044"/>
    <w:rsid w:val="00D871CE"/>
    <w:rsid w:val="00D902C6"/>
    <w:rsid w:val="00D90B60"/>
    <w:rsid w:val="00D918C4"/>
    <w:rsid w:val="00D9196D"/>
    <w:rsid w:val="00D92982"/>
    <w:rsid w:val="00D94931"/>
    <w:rsid w:val="00DA087D"/>
    <w:rsid w:val="00DA12B7"/>
    <w:rsid w:val="00DA305E"/>
    <w:rsid w:val="00DA5417"/>
    <w:rsid w:val="00DA56E8"/>
    <w:rsid w:val="00DB0A9F"/>
    <w:rsid w:val="00DB14D1"/>
    <w:rsid w:val="00DB377D"/>
    <w:rsid w:val="00DB627B"/>
    <w:rsid w:val="00DB72AF"/>
    <w:rsid w:val="00DC2475"/>
    <w:rsid w:val="00DC24AC"/>
    <w:rsid w:val="00DC2D36"/>
    <w:rsid w:val="00DC53EF"/>
    <w:rsid w:val="00DD2379"/>
    <w:rsid w:val="00DD3E5E"/>
    <w:rsid w:val="00DE0939"/>
    <w:rsid w:val="00DE5608"/>
    <w:rsid w:val="00DE58D0"/>
    <w:rsid w:val="00DE5911"/>
    <w:rsid w:val="00DE654F"/>
    <w:rsid w:val="00DE6CE8"/>
    <w:rsid w:val="00DF00BF"/>
    <w:rsid w:val="00DF0B6E"/>
    <w:rsid w:val="00DF15E0"/>
    <w:rsid w:val="00DF37A0"/>
    <w:rsid w:val="00E02AD2"/>
    <w:rsid w:val="00E06B0A"/>
    <w:rsid w:val="00E07221"/>
    <w:rsid w:val="00E07560"/>
    <w:rsid w:val="00E110E7"/>
    <w:rsid w:val="00E117E2"/>
    <w:rsid w:val="00E11B20"/>
    <w:rsid w:val="00E12A27"/>
    <w:rsid w:val="00E17399"/>
    <w:rsid w:val="00E17FA2"/>
    <w:rsid w:val="00E20D68"/>
    <w:rsid w:val="00E22330"/>
    <w:rsid w:val="00E26C48"/>
    <w:rsid w:val="00E304B6"/>
    <w:rsid w:val="00E30B5A"/>
    <w:rsid w:val="00E3123D"/>
    <w:rsid w:val="00E31461"/>
    <w:rsid w:val="00E31D43"/>
    <w:rsid w:val="00E31D81"/>
    <w:rsid w:val="00E32608"/>
    <w:rsid w:val="00E34188"/>
    <w:rsid w:val="00E34B6E"/>
    <w:rsid w:val="00E35559"/>
    <w:rsid w:val="00E3723A"/>
    <w:rsid w:val="00E37860"/>
    <w:rsid w:val="00E4109A"/>
    <w:rsid w:val="00E446F1"/>
    <w:rsid w:val="00E46886"/>
    <w:rsid w:val="00E47AEF"/>
    <w:rsid w:val="00E534EA"/>
    <w:rsid w:val="00E53B75"/>
    <w:rsid w:val="00E54965"/>
    <w:rsid w:val="00E54E3B"/>
    <w:rsid w:val="00E57565"/>
    <w:rsid w:val="00E60BDF"/>
    <w:rsid w:val="00E6180E"/>
    <w:rsid w:val="00E6248A"/>
    <w:rsid w:val="00E63838"/>
    <w:rsid w:val="00E64434"/>
    <w:rsid w:val="00E6553E"/>
    <w:rsid w:val="00E6624B"/>
    <w:rsid w:val="00E662FD"/>
    <w:rsid w:val="00E67C51"/>
    <w:rsid w:val="00E7012C"/>
    <w:rsid w:val="00E72EFC"/>
    <w:rsid w:val="00E745CA"/>
    <w:rsid w:val="00E758EC"/>
    <w:rsid w:val="00E75F5A"/>
    <w:rsid w:val="00E7639D"/>
    <w:rsid w:val="00E81737"/>
    <w:rsid w:val="00E8234C"/>
    <w:rsid w:val="00E835E2"/>
    <w:rsid w:val="00E83AA9"/>
    <w:rsid w:val="00E85928"/>
    <w:rsid w:val="00E8620E"/>
    <w:rsid w:val="00E87822"/>
    <w:rsid w:val="00E90395"/>
    <w:rsid w:val="00E90E49"/>
    <w:rsid w:val="00E917F9"/>
    <w:rsid w:val="00E921FD"/>
    <w:rsid w:val="00E9291C"/>
    <w:rsid w:val="00E93FFE"/>
    <w:rsid w:val="00E9453F"/>
    <w:rsid w:val="00E94F8A"/>
    <w:rsid w:val="00E95514"/>
    <w:rsid w:val="00E96B33"/>
    <w:rsid w:val="00EA3C24"/>
    <w:rsid w:val="00EA7A41"/>
    <w:rsid w:val="00EB077B"/>
    <w:rsid w:val="00EB1DD1"/>
    <w:rsid w:val="00EB4EA2"/>
    <w:rsid w:val="00EC24D5"/>
    <w:rsid w:val="00EC27C6"/>
    <w:rsid w:val="00EC3A6B"/>
    <w:rsid w:val="00EC3D8F"/>
    <w:rsid w:val="00EC4207"/>
    <w:rsid w:val="00EC5653"/>
    <w:rsid w:val="00EC71CE"/>
    <w:rsid w:val="00ED1006"/>
    <w:rsid w:val="00ED2DCE"/>
    <w:rsid w:val="00ED7164"/>
    <w:rsid w:val="00EE0DC0"/>
    <w:rsid w:val="00EE1D29"/>
    <w:rsid w:val="00EE2C60"/>
    <w:rsid w:val="00EE479F"/>
    <w:rsid w:val="00EE7CB4"/>
    <w:rsid w:val="00EF18FE"/>
    <w:rsid w:val="00EF2498"/>
    <w:rsid w:val="00EF5787"/>
    <w:rsid w:val="00EF60D0"/>
    <w:rsid w:val="00F03B22"/>
    <w:rsid w:val="00F0528D"/>
    <w:rsid w:val="00F06C67"/>
    <w:rsid w:val="00F06DFD"/>
    <w:rsid w:val="00F071D1"/>
    <w:rsid w:val="00F07533"/>
    <w:rsid w:val="00F10629"/>
    <w:rsid w:val="00F11B64"/>
    <w:rsid w:val="00F122BC"/>
    <w:rsid w:val="00F15FA5"/>
    <w:rsid w:val="00F209B7"/>
    <w:rsid w:val="00F2376F"/>
    <w:rsid w:val="00F243D8"/>
    <w:rsid w:val="00F275C6"/>
    <w:rsid w:val="00F3014C"/>
    <w:rsid w:val="00F30828"/>
    <w:rsid w:val="00F313D6"/>
    <w:rsid w:val="00F35DE4"/>
    <w:rsid w:val="00F369A8"/>
    <w:rsid w:val="00F40F0C"/>
    <w:rsid w:val="00F41EFE"/>
    <w:rsid w:val="00F4579A"/>
    <w:rsid w:val="00F4766C"/>
    <w:rsid w:val="00F5060E"/>
    <w:rsid w:val="00F507D1"/>
    <w:rsid w:val="00F519CE"/>
    <w:rsid w:val="00F51ADA"/>
    <w:rsid w:val="00F53E65"/>
    <w:rsid w:val="00F5683F"/>
    <w:rsid w:val="00F57087"/>
    <w:rsid w:val="00F60203"/>
    <w:rsid w:val="00F6040E"/>
    <w:rsid w:val="00F607C5"/>
    <w:rsid w:val="00F60DEA"/>
    <w:rsid w:val="00F611DA"/>
    <w:rsid w:val="00F61332"/>
    <w:rsid w:val="00F6302A"/>
    <w:rsid w:val="00F63950"/>
    <w:rsid w:val="00F64C2B"/>
    <w:rsid w:val="00F64E60"/>
    <w:rsid w:val="00F651BE"/>
    <w:rsid w:val="00F6666F"/>
    <w:rsid w:val="00F67F53"/>
    <w:rsid w:val="00F703BE"/>
    <w:rsid w:val="00F714BE"/>
    <w:rsid w:val="00F71F69"/>
    <w:rsid w:val="00F72B72"/>
    <w:rsid w:val="00F74BB9"/>
    <w:rsid w:val="00F75255"/>
    <w:rsid w:val="00F75582"/>
    <w:rsid w:val="00F7689C"/>
    <w:rsid w:val="00F76EFA"/>
    <w:rsid w:val="00F80103"/>
    <w:rsid w:val="00F804BE"/>
    <w:rsid w:val="00F817CE"/>
    <w:rsid w:val="00F8456C"/>
    <w:rsid w:val="00F859D8"/>
    <w:rsid w:val="00F8600B"/>
    <w:rsid w:val="00F868F5"/>
    <w:rsid w:val="00F9056A"/>
    <w:rsid w:val="00F90F8D"/>
    <w:rsid w:val="00F92782"/>
    <w:rsid w:val="00F93311"/>
    <w:rsid w:val="00F93AA9"/>
    <w:rsid w:val="00F96985"/>
    <w:rsid w:val="00F97838"/>
    <w:rsid w:val="00F97B8A"/>
    <w:rsid w:val="00FA0ED6"/>
    <w:rsid w:val="00FA2BB3"/>
    <w:rsid w:val="00FA3919"/>
    <w:rsid w:val="00FA64E3"/>
    <w:rsid w:val="00FB4C80"/>
    <w:rsid w:val="00FB6A6A"/>
    <w:rsid w:val="00FB6C42"/>
    <w:rsid w:val="00FB6C5B"/>
    <w:rsid w:val="00FC7429"/>
    <w:rsid w:val="00FD07F6"/>
    <w:rsid w:val="00FD1EC8"/>
    <w:rsid w:val="00FD47ED"/>
    <w:rsid w:val="00FD7253"/>
    <w:rsid w:val="00FD74DB"/>
    <w:rsid w:val="00FD7660"/>
    <w:rsid w:val="00FE0655"/>
    <w:rsid w:val="00FE06E5"/>
    <w:rsid w:val="00FE2365"/>
    <w:rsid w:val="00FE37D7"/>
    <w:rsid w:val="00FE4C7B"/>
    <w:rsid w:val="00FE7336"/>
    <w:rsid w:val="00FE787C"/>
    <w:rsid w:val="00FF0EC1"/>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
    <w:basedOn w:val="Normal"/>
    <w:next w:val="Normal"/>
    <w:link w:val="CaptionChar"/>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
    <w:name w:val="Caption Char"/>
    <w:aliases w:val="cap Char"/>
    <w:link w:val="Caption"/>
    <w:locked/>
    <w:rsid w:val="002E2BD2"/>
    <w:rPr>
      <w:rFonts w:ascii="Times New Roman" w:hAnsi="Times New Roman"/>
      <w:b/>
    </w:rPr>
  </w:style>
  <w:style w:type="table" w:customStyle="1" w:styleId="TableGrid1">
    <w:name w:val="Table Grid1"/>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321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22C4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58867370">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63511281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321807852">
      <w:bodyDiv w:val="1"/>
      <w:marLeft w:val="0"/>
      <w:marRight w:val="0"/>
      <w:marTop w:val="0"/>
      <w:marBottom w:val="0"/>
      <w:divBdr>
        <w:top w:val="none" w:sz="0" w:space="0" w:color="auto"/>
        <w:left w:val="none" w:sz="0" w:space="0" w:color="auto"/>
        <w:bottom w:val="none" w:sz="0" w:space="0" w:color="auto"/>
        <w:right w:val="none" w:sz="0" w:space="0" w:color="auto"/>
      </w:divBdr>
    </w:div>
    <w:div w:id="1515267566">
      <w:bodyDiv w:val="1"/>
      <w:marLeft w:val="0"/>
      <w:marRight w:val="0"/>
      <w:marTop w:val="0"/>
      <w:marBottom w:val="0"/>
      <w:divBdr>
        <w:top w:val="none" w:sz="0" w:space="0" w:color="auto"/>
        <w:left w:val="none" w:sz="0" w:space="0" w:color="auto"/>
        <w:bottom w:val="none" w:sz="0" w:space="0" w:color="auto"/>
        <w:right w:val="none" w:sz="0" w:space="0" w:color="auto"/>
      </w:divBdr>
    </w:div>
    <w:div w:id="1533298373">
      <w:bodyDiv w:val="1"/>
      <w:marLeft w:val="0"/>
      <w:marRight w:val="0"/>
      <w:marTop w:val="0"/>
      <w:marBottom w:val="0"/>
      <w:divBdr>
        <w:top w:val="none" w:sz="0" w:space="0" w:color="auto"/>
        <w:left w:val="none" w:sz="0" w:space="0" w:color="auto"/>
        <w:bottom w:val="none" w:sz="0" w:space="0" w:color="auto"/>
        <w:right w:val="none" w:sz="0" w:space="0" w:color="auto"/>
      </w:divBdr>
      <w:divsChild>
        <w:div w:id="108664105">
          <w:marLeft w:val="547"/>
          <w:marRight w:val="0"/>
          <w:marTop w:val="60"/>
          <w:marBottom w:val="0"/>
          <w:divBdr>
            <w:top w:val="none" w:sz="0" w:space="0" w:color="auto"/>
            <w:left w:val="none" w:sz="0" w:space="0" w:color="auto"/>
            <w:bottom w:val="none" w:sz="0" w:space="0" w:color="auto"/>
            <w:right w:val="none" w:sz="0" w:space="0" w:color="auto"/>
          </w:divBdr>
        </w:div>
        <w:div w:id="538205525">
          <w:marLeft w:val="1123"/>
          <w:marRight w:val="0"/>
          <w:marTop w:val="60"/>
          <w:marBottom w:val="0"/>
          <w:divBdr>
            <w:top w:val="none" w:sz="0" w:space="0" w:color="auto"/>
            <w:left w:val="none" w:sz="0" w:space="0" w:color="auto"/>
            <w:bottom w:val="none" w:sz="0" w:space="0" w:color="auto"/>
            <w:right w:val="none" w:sz="0" w:space="0" w:color="auto"/>
          </w:divBdr>
        </w:div>
        <w:div w:id="1848324309">
          <w:marLeft w:val="547"/>
          <w:marRight w:val="0"/>
          <w:marTop w:val="60"/>
          <w:marBottom w:val="0"/>
          <w:divBdr>
            <w:top w:val="none" w:sz="0" w:space="0" w:color="auto"/>
            <w:left w:val="none" w:sz="0" w:space="0" w:color="auto"/>
            <w:bottom w:val="none" w:sz="0" w:space="0" w:color="auto"/>
            <w:right w:val="none" w:sz="0" w:space="0" w:color="auto"/>
          </w:divBdr>
        </w:div>
        <w:div w:id="772482841">
          <w:marLeft w:val="1123"/>
          <w:marRight w:val="0"/>
          <w:marTop w:val="60"/>
          <w:marBottom w:val="0"/>
          <w:divBdr>
            <w:top w:val="none" w:sz="0" w:space="0" w:color="auto"/>
            <w:left w:val="none" w:sz="0" w:space="0" w:color="auto"/>
            <w:bottom w:val="none" w:sz="0" w:space="0" w:color="auto"/>
            <w:right w:val="none" w:sz="0" w:space="0" w:color="auto"/>
          </w:divBdr>
        </w:div>
        <w:div w:id="496071025">
          <w:marLeft w:val="1699"/>
          <w:marRight w:val="0"/>
          <w:marTop w:val="60"/>
          <w:marBottom w:val="0"/>
          <w:divBdr>
            <w:top w:val="none" w:sz="0" w:space="0" w:color="auto"/>
            <w:left w:val="none" w:sz="0" w:space="0" w:color="auto"/>
            <w:bottom w:val="none" w:sz="0" w:space="0" w:color="auto"/>
            <w:right w:val="none" w:sz="0" w:space="0" w:color="auto"/>
          </w:divBdr>
        </w:div>
        <w:div w:id="2004165254">
          <w:marLeft w:val="1123"/>
          <w:marRight w:val="0"/>
          <w:marTop w:val="60"/>
          <w:marBottom w:val="0"/>
          <w:divBdr>
            <w:top w:val="none" w:sz="0" w:space="0" w:color="auto"/>
            <w:left w:val="none" w:sz="0" w:space="0" w:color="auto"/>
            <w:bottom w:val="none" w:sz="0" w:space="0" w:color="auto"/>
            <w:right w:val="none" w:sz="0" w:space="0" w:color="auto"/>
          </w:divBdr>
        </w:div>
        <w:div w:id="685909778">
          <w:marLeft w:val="1123"/>
          <w:marRight w:val="0"/>
          <w:marTop w:val="60"/>
          <w:marBottom w:val="0"/>
          <w:divBdr>
            <w:top w:val="none" w:sz="0" w:space="0" w:color="auto"/>
            <w:left w:val="none" w:sz="0" w:space="0" w:color="auto"/>
            <w:bottom w:val="none" w:sz="0" w:space="0" w:color="auto"/>
            <w:right w:val="none" w:sz="0" w:space="0" w:color="auto"/>
          </w:divBdr>
        </w:div>
        <w:div w:id="994643468">
          <w:marLeft w:val="547"/>
          <w:marRight w:val="0"/>
          <w:marTop w:val="60"/>
          <w:marBottom w:val="0"/>
          <w:divBdr>
            <w:top w:val="none" w:sz="0" w:space="0" w:color="auto"/>
            <w:left w:val="none" w:sz="0" w:space="0" w:color="auto"/>
            <w:bottom w:val="none" w:sz="0" w:space="0" w:color="auto"/>
            <w:right w:val="none" w:sz="0" w:space="0" w:color="auto"/>
          </w:divBdr>
        </w:div>
        <w:div w:id="1988901150">
          <w:marLeft w:val="1123"/>
          <w:marRight w:val="0"/>
          <w:marTop w:val="60"/>
          <w:marBottom w:val="0"/>
          <w:divBdr>
            <w:top w:val="none" w:sz="0" w:space="0" w:color="auto"/>
            <w:left w:val="none" w:sz="0" w:space="0" w:color="auto"/>
            <w:bottom w:val="none" w:sz="0" w:space="0" w:color="auto"/>
            <w:right w:val="none" w:sz="0" w:space="0" w:color="auto"/>
          </w:divBdr>
        </w:div>
      </w:divsChild>
    </w:div>
    <w:div w:id="1660769767">
      <w:bodyDiv w:val="1"/>
      <w:marLeft w:val="0"/>
      <w:marRight w:val="0"/>
      <w:marTop w:val="0"/>
      <w:marBottom w:val="0"/>
      <w:divBdr>
        <w:top w:val="none" w:sz="0" w:space="0" w:color="auto"/>
        <w:left w:val="none" w:sz="0" w:space="0" w:color="auto"/>
        <w:bottom w:val="none" w:sz="0" w:space="0" w:color="auto"/>
        <w:right w:val="none" w:sz="0" w:space="0" w:color="auto"/>
      </w:divBdr>
    </w:div>
    <w:div w:id="1817186096">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13028010">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5NUHHDQN7SK2-1476151046-41813</_dlc_DocId>
    <_dlc_DocIdUrl xmlns="f166a696-7b5b-4ccd-9f0c-ffde0cceec81">
      <Url>https://ericsson.sharepoint.com/sites/star/_layouts/15/DocIdRedir.aspx?ID=5NUHHDQN7SK2-1476151046-41813</Url>
      <Description>5NUHHDQN7SK2-1476151046-41813</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Props1.xml><?xml version="1.0" encoding="utf-8"?>
<ds:datastoreItem xmlns:ds="http://schemas.openxmlformats.org/officeDocument/2006/customXml" ds:itemID="{477F5847-7DA9-4839-B1B8-3229255ABCE3}">
  <ds:schemaRefs>
    <ds:schemaRef ds:uri="http://schemas.microsoft.com/sharepoint/events"/>
  </ds:schemaRefs>
</ds:datastoreItem>
</file>

<file path=customXml/itemProps2.xml><?xml version="1.0" encoding="utf-8"?>
<ds:datastoreItem xmlns:ds="http://schemas.openxmlformats.org/officeDocument/2006/customXml" ds:itemID="{638910F7-2635-4423-A193-58BA38A8D62B}">
  <ds:schemaRefs>
    <ds:schemaRef ds:uri="http://schemas.microsoft.com/sharepoint/v3/contenttype/forms"/>
  </ds:schemaRefs>
</ds:datastoreItem>
</file>

<file path=customXml/itemProps3.xml><?xml version="1.0" encoding="utf-8"?>
<ds:datastoreItem xmlns:ds="http://schemas.openxmlformats.org/officeDocument/2006/customXml" ds:itemID="{F91FCB47-3812-4429-AD68-E35B15649BDB}">
  <ds:schemaRefs>
    <ds:schemaRef ds:uri="http://schemas.microsoft.com/office/2006/documentManagement/types"/>
    <ds:schemaRef ds:uri="http://schemas.microsoft.com/sharepoint/v4"/>
    <ds:schemaRef ds:uri="f166a696-7b5b-4ccd-9f0c-ffde0cceec81"/>
    <ds:schemaRef ds:uri="http://www.w3.org/XML/1998/namespace"/>
    <ds:schemaRef ds:uri="http://purl.org/dc/elements/1.1/"/>
    <ds:schemaRef ds:uri="http://schemas.microsoft.com/office/infopath/2007/PartnerControls"/>
    <ds:schemaRef ds:uri="http://schemas.microsoft.com/office/2006/metadata/properties"/>
    <ds:schemaRef ds:uri="http://purl.org/dc/terms/"/>
    <ds:schemaRef ds:uri="http://purl.org/dc/dcmitype/"/>
    <ds:schemaRef ds:uri="d8762117-8292-4133-b1c7-eab5c6487cfd"/>
    <ds:schemaRef ds:uri="http://schemas.openxmlformats.org/package/2006/metadata/core-properties"/>
    <ds:schemaRef ds:uri="611109f9-ed58-4498-a270-1fb2086a5321"/>
  </ds:schemaRefs>
</ds:datastoreItem>
</file>

<file path=customXml/itemProps4.xml><?xml version="1.0" encoding="utf-8"?>
<ds:datastoreItem xmlns:ds="http://schemas.openxmlformats.org/officeDocument/2006/customXml" ds:itemID="{2BFE3B64-6184-4E57-B7A6-E3A57BD00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07E5F3-4A55-4090-BBE3-E7AEACCF2082}">
  <ds:schemaRefs>
    <ds:schemaRef ds:uri="Microsoft.SharePoint.Taxonomy.ContentTypeSync"/>
  </ds:schemaRefs>
</ds:datastoreItem>
</file>

<file path=customXml/itemProps6.xml><?xml version="1.0" encoding="utf-8"?>
<ds:datastoreItem xmlns:ds="http://schemas.openxmlformats.org/officeDocument/2006/customXml" ds:itemID="{96B3929C-EDB4-4E45-BB09-F5DA118E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Uplink.dotx</Template>
  <TotalTime>786</TotalTime>
  <Pages>4</Pages>
  <Words>1987</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Stephen Grant</cp:lastModifiedBy>
  <cp:revision>245</cp:revision>
  <cp:lastPrinted>2008-01-31T07:09:00Z</cp:lastPrinted>
  <dcterms:created xsi:type="dcterms:W3CDTF">2018-08-09T11:35:00Z</dcterms:created>
  <dcterms:modified xsi:type="dcterms:W3CDTF">2019-02-16T02:00:00Z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74dfcdcf-d6f4-4081-9cd9-1f43a3334226</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AuthorIds_UIVersion_7168">
    <vt:lpwstr>358</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7680">
    <vt:lpwstr>358</vt:lpwstr>
  </property>
  <property fmtid="{D5CDD505-2E9C-101B-9397-08002B2CF9AE}" pid="16" name="AuthorIds_UIVersion_512">
    <vt:lpwstr>358</vt:lpwstr>
  </property>
</Properties>
</file>